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4A" w:rsidRDefault="00FE7F1C">
      <w:pPr>
        <w:pStyle w:val="ConsPlusTitle"/>
        <w:spacing w:line="360" w:lineRule="atLeas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Не нуждается в государственной регистрации</w:t>
      </w:r>
    </w:p>
    <w:p w:rsidR="00FF7F4A" w:rsidRDefault="00FF7F4A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</w:p>
    <w:p w:rsidR="00FF7F4A" w:rsidRDefault="00FE7F1C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МИНИСТЕРСТВО ЮСТИЦИИ РОССИЙСКОЙ ФЕДЕРАЦИИ</w:t>
      </w:r>
    </w:p>
    <w:p w:rsidR="00FF7F4A" w:rsidRDefault="00FE7F1C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(МИНЮСТ РОССИИ)</w:t>
      </w:r>
    </w:p>
    <w:p w:rsidR="00FF7F4A" w:rsidRDefault="00FF7F4A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</w:p>
    <w:p w:rsidR="00FF7F4A" w:rsidRDefault="00FE7F1C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ПРИКАЗ</w:t>
      </w:r>
    </w:p>
    <w:p w:rsidR="00FF7F4A" w:rsidRDefault="00FF7F4A">
      <w:pPr>
        <w:pStyle w:val="ConsPlusTitle"/>
        <w:spacing w:line="360" w:lineRule="atLeast"/>
        <w:jc w:val="center"/>
        <w:rPr>
          <w:rFonts w:ascii="PT Astra Serif" w:hAnsi="PT Astra Serif"/>
          <w:sz w:val="28"/>
        </w:rPr>
      </w:pPr>
    </w:p>
    <w:p w:rsidR="00FF7F4A" w:rsidRDefault="00FE7F1C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Москва</w:t>
      </w:r>
    </w:p>
    <w:p w:rsidR="00FF7F4A" w:rsidRDefault="00FF7F4A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</w:rPr>
      </w:pPr>
    </w:p>
    <w:tbl>
      <w:tblPr>
        <w:tblStyle w:val="af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FF7F4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F7F4A" w:rsidRDefault="00FE7F1C">
            <w:pPr>
              <w:pStyle w:val="ConsPlusTitle"/>
              <w:spacing w:line="360" w:lineRule="atLeast"/>
              <w:jc w:val="both"/>
              <w:rPr>
                <w:rFonts w:ascii="PT Astra Serif" w:hAnsi="PT Astra Serif"/>
                <w:b w:val="0"/>
                <w:sz w:val="28"/>
                <w:u w:val="single"/>
              </w:rPr>
            </w:pPr>
            <w:r>
              <w:rPr>
                <w:rFonts w:ascii="PT Astra Serif" w:hAnsi="PT Astra Serif"/>
                <w:b w:val="0"/>
                <w:sz w:val="28"/>
                <w:u w:val="single"/>
              </w:rPr>
              <w:t>от 16 ноября 2022 г.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F7F4A" w:rsidRDefault="00FE7F1C">
            <w:pPr>
              <w:pStyle w:val="ConsPlusTitle"/>
              <w:spacing w:line="360" w:lineRule="atLeast"/>
              <w:jc w:val="right"/>
              <w:rPr>
                <w:rFonts w:ascii="PT Astra Serif" w:hAnsi="PT Astra Serif"/>
                <w:b w:val="0"/>
                <w:sz w:val="28"/>
                <w:u w:val="single"/>
              </w:rPr>
            </w:pPr>
            <w:r>
              <w:rPr>
                <w:rFonts w:ascii="PT Astra Serif" w:hAnsi="PT Astra Serif"/>
                <w:b w:val="0"/>
                <w:sz w:val="28"/>
                <w:u w:val="single"/>
              </w:rPr>
              <w:t>№ 282</w:t>
            </w:r>
          </w:p>
          <w:p w:rsidR="00FF7F4A" w:rsidRDefault="00FF7F4A">
            <w:pPr>
              <w:pStyle w:val="ConsPlusTitle"/>
              <w:spacing w:line="360" w:lineRule="atLeast"/>
              <w:jc w:val="center"/>
              <w:rPr>
                <w:rFonts w:ascii="PT Astra Serif" w:hAnsi="PT Astra Serif"/>
                <w:b w:val="0"/>
                <w:sz w:val="28"/>
              </w:rPr>
            </w:pPr>
          </w:p>
        </w:tc>
      </w:tr>
    </w:tbl>
    <w:p w:rsidR="00FF7F4A" w:rsidRDefault="00FF7F4A">
      <w:pPr>
        <w:pStyle w:val="ConsPlusTitle"/>
        <w:spacing w:line="360" w:lineRule="atLeast"/>
        <w:jc w:val="center"/>
        <w:rPr>
          <w:rFonts w:ascii="PT Astra Serif" w:hAnsi="PT Astra Serif"/>
          <w:b w:val="0"/>
          <w:sz w:val="28"/>
        </w:rPr>
      </w:pPr>
    </w:p>
    <w:p w:rsidR="00FE7F1C" w:rsidRPr="00FE7F1C" w:rsidRDefault="00FE7F1C" w:rsidP="00FE7F1C">
      <w:pPr>
        <w:widowControl w:val="0"/>
        <w:adjustRightInd w:val="0"/>
        <w:spacing w:line="240" w:lineRule="auto"/>
        <w:textAlignment w:val="baseline"/>
        <w:rPr>
          <w:b/>
          <w:color w:val="auto"/>
          <w:sz w:val="28"/>
          <w:szCs w:val="28"/>
        </w:rPr>
      </w:pPr>
      <w:r w:rsidRPr="00FE7F1C">
        <w:rPr>
          <w:b/>
          <w:color w:val="auto"/>
          <w:sz w:val="28"/>
          <w:szCs w:val="28"/>
        </w:rPr>
        <w:t xml:space="preserve">Об утверждении Положения о научно-методическом обеспечении судебно-экспертной деятельности </w:t>
      </w:r>
    </w:p>
    <w:p w:rsidR="00FF7F4A" w:rsidRDefault="00FE7F1C" w:rsidP="00FE7F1C">
      <w:pPr>
        <w:pStyle w:val="ConsPlusTitle"/>
        <w:jc w:val="center"/>
        <w:rPr>
          <w:rFonts w:ascii="PT Astra Serif" w:hAnsi="PT Astra Serif"/>
          <w:sz w:val="28"/>
        </w:rPr>
      </w:pPr>
      <w:r w:rsidRPr="00FE7F1C">
        <w:rPr>
          <w:rFonts w:ascii="Times New Roman" w:hAnsi="Times New Roman"/>
          <w:color w:val="auto"/>
          <w:sz w:val="28"/>
          <w:szCs w:val="28"/>
        </w:rPr>
        <w:t>в федеральных бюджетных судебно-экспертных учреждениях Министерства юстиции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FF7F4A"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F7F4A" w:rsidRDefault="00FF7F4A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</w:rPr>
            </w:pPr>
          </w:p>
        </w:tc>
      </w:tr>
    </w:tbl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соответствии со статьей 38 Фед</w:t>
      </w:r>
      <w:r>
        <w:rPr>
          <w:rFonts w:ascii="PT Astra Serif" w:hAnsi="PT Astra Serif"/>
          <w:sz w:val="28"/>
        </w:rPr>
        <w:t xml:space="preserve">ерального закона от 31.05.2001  </w:t>
      </w:r>
      <w:r w:rsidRPr="00FE7F1C">
        <w:rPr>
          <w:rFonts w:ascii="PT Astra Serif" w:hAnsi="PT Astra Serif"/>
          <w:sz w:val="28"/>
        </w:rPr>
        <w:t>№ 73-ФЗ «О государственной с</w:t>
      </w:r>
      <w:r>
        <w:rPr>
          <w:rFonts w:ascii="PT Astra Serif" w:hAnsi="PT Astra Serif"/>
          <w:sz w:val="28"/>
        </w:rPr>
        <w:t xml:space="preserve">удебно-экспертной деятельности </w:t>
      </w:r>
      <w:r w:rsidRPr="00FE7F1C">
        <w:rPr>
          <w:rFonts w:ascii="PT Astra Serif" w:hAnsi="PT Astra Serif"/>
          <w:sz w:val="28"/>
        </w:rPr>
        <w:t xml:space="preserve">в Российской Федерации» (Собрание законодательства Российской Федерации, 2001, </w:t>
      </w:r>
      <w:r>
        <w:rPr>
          <w:rFonts w:ascii="PT Astra Serif" w:hAnsi="PT Astra Serif"/>
          <w:sz w:val="28"/>
        </w:rPr>
        <w:t xml:space="preserve">             </w:t>
      </w:r>
      <w:r w:rsidRPr="00FE7F1C">
        <w:rPr>
          <w:rFonts w:ascii="PT Astra Serif" w:hAnsi="PT Astra Serif"/>
          <w:sz w:val="28"/>
        </w:rPr>
        <w:t xml:space="preserve">№ 23, ст. 2291; 2019, № 30, ст. 4126) и подпунктом 9 пункта 19 Положения о Министерстве юстиции Российской Федерации, утвержденного Указом Президента Российской Федерации от 13.01.2023 № 10 «Вопросы Министерства юстиции Российской Федерации» (Собрание законодательства Российской Федерации, 2023, </w:t>
      </w:r>
      <w:r>
        <w:rPr>
          <w:rFonts w:ascii="PT Astra Serif" w:hAnsi="PT Astra Serif"/>
          <w:sz w:val="28"/>
        </w:rPr>
        <w:t xml:space="preserve">№ 3, ст. 553),                                  </w:t>
      </w:r>
      <w:proofErr w:type="gramStart"/>
      <w:r w:rsidRPr="00FE7F1C">
        <w:rPr>
          <w:rFonts w:ascii="PT Astra Serif" w:hAnsi="PT Astra Serif"/>
          <w:sz w:val="28"/>
        </w:rPr>
        <w:t>п</w:t>
      </w:r>
      <w:proofErr w:type="gramEnd"/>
      <w:r w:rsidRPr="00FE7F1C">
        <w:rPr>
          <w:rFonts w:ascii="PT Astra Serif" w:hAnsi="PT Astra Serif"/>
          <w:sz w:val="28"/>
        </w:rPr>
        <w:t xml:space="preserve"> р и к а з ы в а ю: </w:t>
      </w:r>
    </w:p>
    <w:p w:rsid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1. Утвердить Положение о научно-методическом обеспечении судебно-экспертной деятельности в федеральных бюджетных судебно-экспертных учреждениях Министерства юстиции Российской Федерации согласно приложе</w:t>
      </w:r>
      <w:r>
        <w:rPr>
          <w:rFonts w:ascii="PT Astra Serif" w:hAnsi="PT Astra Serif"/>
          <w:sz w:val="28"/>
        </w:rPr>
        <w:t>нию к настоящему приказу.</w:t>
      </w:r>
    </w:p>
    <w:p w:rsidR="00FE7F1C" w:rsidRPr="00FE7F1C" w:rsidRDefault="00FE7F1C" w:rsidP="00FE7F1C">
      <w:pPr>
        <w:pStyle w:val="ConsPlusNormal"/>
        <w:spacing w:line="360" w:lineRule="atLeast"/>
        <w:ind w:firstLine="709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2. Признать утратившим силу приказ Министерства юстиции Российской Федерации от 06.06.2014 № 123 «Об утверждении Положения об организации научно-методического обеспечения судебной экспертизы </w:t>
      </w:r>
    </w:p>
    <w:p w:rsidR="00FF7F4A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федеральных бюджетных судебно-экспертных учреждений Министерства юстиции Российской Федерации» (не нуждается в государственной регистрации, письмо Минюста России от 25.08.2014 № ВП-01/16383-14).</w:t>
      </w:r>
    </w:p>
    <w:p w:rsidR="00FE7F1C" w:rsidRDefault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F7F4A" w:rsidRDefault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                                                                                        К.А. Чуйченко</w:t>
      </w:r>
    </w:p>
    <w:p w:rsidR="00FE7F1C" w:rsidRPr="00FE7F1C" w:rsidRDefault="00FE7F1C" w:rsidP="00FE7F1C">
      <w:pPr>
        <w:pStyle w:val="ConsPlusNormal"/>
        <w:spacing w:line="360" w:lineRule="atLeast"/>
        <w:ind w:left="4956"/>
        <w:jc w:val="center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lastRenderedPageBreak/>
        <w:t>УТВЕРЖДЕНО</w:t>
      </w:r>
    </w:p>
    <w:p w:rsidR="00FE7F1C" w:rsidRDefault="00FE7F1C" w:rsidP="00FE7F1C">
      <w:pPr>
        <w:tabs>
          <w:tab w:val="left" w:pos="9072"/>
        </w:tabs>
        <w:spacing w:line="240" w:lineRule="auto"/>
        <w:ind w:left="495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приказу Министерства юстиции</w:t>
      </w:r>
    </w:p>
    <w:p w:rsidR="00FE7F1C" w:rsidRDefault="00FE7F1C" w:rsidP="00FE7F1C">
      <w:pPr>
        <w:tabs>
          <w:tab w:val="left" w:pos="9072"/>
        </w:tabs>
        <w:spacing w:line="240" w:lineRule="auto"/>
        <w:ind w:left="495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Российской Федерации</w:t>
      </w:r>
    </w:p>
    <w:p w:rsidR="00FE7F1C" w:rsidRPr="00FE7F1C" w:rsidRDefault="00FE7F1C" w:rsidP="00FE7F1C">
      <w:pPr>
        <w:tabs>
          <w:tab w:val="left" w:pos="9072"/>
        </w:tabs>
        <w:spacing w:line="240" w:lineRule="auto"/>
        <w:ind w:left="495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</w:t>
      </w:r>
      <w:r>
        <w:rPr>
          <w:rFonts w:ascii="PT Astra Serif" w:hAnsi="PT Astra Serif"/>
          <w:sz w:val="28"/>
          <w:u w:val="single"/>
        </w:rPr>
        <w:t xml:space="preserve"> 16.11.2022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  <w:u w:val="single"/>
        </w:rPr>
        <w:t xml:space="preserve"> 282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b/>
          <w:sz w:val="28"/>
        </w:rPr>
      </w:pPr>
      <w:r w:rsidRPr="00FE7F1C">
        <w:rPr>
          <w:rFonts w:ascii="PT Astra Serif" w:hAnsi="PT Astra Serif"/>
          <w:b/>
          <w:sz w:val="28"/>
        </w:rPr>
        <w:t>Положение</w:t>
      </w: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b/>
          <w:sz w:val="28"/>
        </w:rPr>
      </w:pPr>
      <w:r w:rsidRPr="00FE7F1C">
        <w:rPr>
          <w:rFonts w:ascii="PT Astra Serif" w:hAnsi="PT Astra Serif"/>
          <w:b/>
          <w:sz w:val="28"/>
        </w:rPr>
        <w:t>о научно-методическом обеспечении</w:t>
      </w: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b/>
          <w:sz w:val="28"/>
        </w:rPr>
      </w:pPr>
      <w:r w:rsidRPr="00FE7F1C">
        <w:rPr>
          <w:rFonts w:ascii="PT Astra Serif" w:hAnsi="PT Astra Serif"/>
          <w:b/>
          <w:sz w:val="28"/>
        </w:rPr>
        <w:t xml:space="preserve">судебно-экспертной деятельности в </w:t>
      </w:r>
      <w:proofErr w:type="gramStart"/>
      <w:r w:rsidRPr="00FE7F1C">
        <w:rPr>
          <w:rFonts w:ascii="PT Astra Serif" w:hAnsi="PT Astra Serif"/>
          <w:b/>
          <w:sz w:val="28"/>
        </w:rPr>
        <w:t>федеральных</w:t>
      </w:r>
      <w:proofErr w:type="gramEnd"/>
      <w:r w:rsidRPr="00FE7F1C">
        <w:rPr>
          <w:rFonts w:ascii="PT Astra Serif" w:hAnsi="PT Astra Serif"/>
          <w:b/>
          <w:sz w:val="28"/>
        </w:rPr>
        <w:t xml:space="preserve"> бюджетных</w:t>
      </w: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b/>
          <w:sz w:val="28"/>
        </w:rPr>
      </w:pPr>
      <w:r w:rsidRPr="00FE7F1C">
        <w:rPr>
          <w:rFonts w:ascii="PT Astra Serif" w:hAnsi="PT Astra Serif"/>
          <w:b/>
          <w:sz w:val="28"/>
        </w:rPr>
        <w:t xml:space="preserve">судебно-экспертных </w:t>
      </w:r>
      <w:proofErr w:type="gramStart"/>
      <w:r w:rsidRPr="00FE7F1C">
        <w:rPr>
          <w:rFonts w:ascii="PT Astra Serif" w:hAnsi="PT Astra Serif"/>
          <w:b/>
          <w:sz w:val="28"/>
        </w:rPr>
        <w:t>учреждениях</w:t>
      </w:r>
      <w:proofErr w:type="gramEnd"/>
      <w:r w:rsidRPr="00FE7F1C">
        <w:rPr>
          <w:rFonts w:ascii="PT Astra Serif" w:hAnsi="PT Astra Serif"/>
          <w:b/>
          <w:sz w:val="28"/>
        </w:rPr>
        <w:t xml:space="preserve"> Министерства юстиции</w:t>
      </w: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b/>
          <w:sz w:val="28"/>
        </w:rPr>
      </w:pPr>
      <w:r w:rsidRPr="00FE7F1C">
        <w:rPr>
          <w:rFonts w:ascii="PT Astra Serif" w:hAnsi="PT Astra Serif"/>
          <w:b/>
          <w:sz w:val="28"/>
        </w:rPr>
        <w:t>Российской Федерации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b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I. Общие положения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1. Положение о научно-методическом обеспечении судебно-экспертной деятельности в федеральных бюджетных судебно-экспертных учреждениях Министерства юстиции Российской Федерации (далее – Положение, СЭУ Минюста России соответственно) определяет порядок научно-методического обеспечения судебной экспертизы (далее – НМО)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proofErr w:type="gramStart"/>
      <w:r w:rsidRPr="00FE7F1C">
        <w:rPr>
          <w:rFonts w:ascii="PT Astra Serif" w:hAnsi="PT Astra Serif"/>
          <w:sz w:val="28"/>
        </w:rPr>
        <w:t xml:space="preserve">в СЭУ Минюста России: федеральном бюджетном учреждении Российском федеральном центре судебной экспертизы при Министерстве юстиции Российской Федерации (далее – РФЦСЭ), федеральных бюджетных учреждениях региональных центрах судебной экспертизы Министерства юстиции Российской Федерации (далее – РЦСЭ), федеральных бюджетных учреждениях лабораториях судебной экспертизы Министерства юстиции Российской Федерации (далее – ЛСЭ) путем разработки,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>, внедрения в экспертную практику методических материалов по производству судебной экспертизы, научно-технических средств судебной</w:t>
      </w:r>
      <w:proofErr w:type="gramEnd"/>
      <w:r w:rsidRPr="00FE7F1C">
        <w:rPr>
          <w:rFonts w:ascii="PT Astra Serif" w:hAnsi="PT Astra Serif"/>
          <w:sz w:val="28"/>
        </w:rPr>
        <w:t xml:space="preserve"> экспертизы, учебных программ по экспертным специальностям.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2. Цель НМО состоит в достижении объективных и научно обоснованных результатов судебных экспертиз и экспертных исследований, формировании единого научно-</w:t>
      </w:r>
      <w:proofErr w:type="gramStart"/>
      <w:r w:rsidRPr="00FE7F1C">
        <w:rPr>
          <w:rFonts w:ascii="PT Astra Serif" w:hAnsi="PT Astra Serif"/>
          <w:sz w:val="28"/>
        </w:rPr>
        <w:t>методического подхода</w:t>
      </w:r>
      <w:proofErr w:type="gramEnd"/>
      <w:r w:rsidRPr="00FE7F1C">
        <w:rPr>
          <w:rFonts w:ascii="PT Astra Serif" w:hAnsi="PT Astra Serif"/>
          <w:sz w:val="28"/>
        </w:rPr>
        <w:t xml:space="preserve">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экспертной практике и дополнительном профессиональном образовании работников РФЦСЭ, РЦСЭ, ЛСЭ по экспертным специальностям.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3. НМО включает в себя: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методические материалы по производству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научно-технические средства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дополнительные профессиональные программы по экспертным </w:t>
      </w:r>
      <w:r w:rsidRPr="00FE7F1C">
        <w:rPr>
          <w:rFonts w:ascii="PT Astra Serif" w:hAnsi="PT Astra Serif"/>
          <w:sz w:val="28"/>
        </w:rPr>
        <w:lastRenderedPageBreak/>
        <w:t>специальностям.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4. НМО создается в процессе выполнения научно-методических работ (далее – НМР), задачами которых являются: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развитие теоретических и методологических основ судебно-экспертной деятельности;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формирование новых родов и видов судебных экспертиз;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разработка новых методических материалов и совершенствование применяемых в экспертной практике методических материалов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по производству судебной экспертизы, научно-технических средств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разработка и совершенствование дополнительных профессиональных программ по экспертным специальностям.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5. В HMO могут быть включены методические материалы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по производству судебной экспертизы, научно-технические средства судебной экспертизы, дополнительные профессиональные программы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proofErr w:type="gramStart"/>
      <w:r w:rsidRPr="00FE7F1C">
        <w:rPr>
          <w:rFonts w:ascii="PT Astra Serif" w:hAnsi="PT Astra Serif"/>
          <w:sz w:val="28"/>
        </w:rPr>
        <w:t xml:space="preserve">по экспертным специальностям, разработанные вне рамок НМР, в том числе в иных организациях, после проведения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>, подтверждающей пригодность их использования в судебно-экспертной практике, и утверждения их Научно-методическим советом при РФЦСЭ (далее – НМС).</w:t>
      </w:r>
      <w:proofErr w:type="gramEnd"/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6. Все мероприятия по организации НМР,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 по производству судебной экспертизы, внедрению НМО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в экспертную практику СЭУ Минюста России осуществляются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на плановой основе.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 по производству судебной экспертизы и внедрение НМО, указанного в пункте 5 Положения, могут осуществляться вне плана.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7. Основными принципами планирования НМР являются: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научная обоснованность планов;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системность и комплексность планируемых заданий;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оптимальность и непрерывность планирования;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директивность и единство разработки и выполнения планов;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потребность судов и следственных органов в решении отдельных вопросов, требующих специальных экспертных знаний;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потребность СЭУ Минюста России в методических материалах.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8. В НМР принимают участие РФЦСЭ, РЦСЭ, ЛСЭ. В коллектив исполнителей темы могут быть включены представители других организаций.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lastRenderedPageBreak/>
        <w:tab/>
        <w:t xml:space="preserve">9. Ответственным судебно-экспертным учреждением по НМО является РФЦСЭ, на </w:t>
      </w:r>
      <w:proofErr w:type="gramStart"/>
      <w:r w:rsidRPr="00FE7F1C">
        <w:rPr>
          <w:rFonts w:ascii="PT Astra Serif" w:hAnsi="PT Astra Serif"/>
          <w:sz w:val="28"/>
        </w:rPr>
        <w:t>который</w:t>
      </w:r>
      <w:proofErr w:type="gramEnd"/>
      <w:r w:rsidRPr="00FE7F1C">
        <w:rPr>
          <w:rFonts w:ascii="PT Astra Serif" w:hAnsi="PT Astra Serif"/>
          <w:sz w:val="28"/>
        </w:rPr>
        <w:t xml:space="preserve"> возлагается: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планирование и координация НМР, </w:t>
      </w:r>
      <w:proofErr w:type="gramStart"/>
      <w:r w:rsidRPr="00FE7F1C">
        <w:rPr>
          <w:rFonts w:ascii="PT Astra Serif" w:hAnsi="PT Astra Serif"/>
          <w:sz w:val="28"/>
        </w:rPr>
        <w:t>проводимых</w:t>
      </w:r>
      <w:proofErr w:type="gramEnd"/>
      <w:r w:rsidRPr="00FE7F1C">
        <w:rPr>
          <w:rFonts w:ascii="PT Astra Serif" w:hAnsi="PT Astra Serif"/>
          <w:sz w:val="28"/>
        </w:rPr>
        <w:t xml:space="preserve"> в РФЦСЭ, РЦСЭ, ЛСЭ;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научное руководство темами НМР;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</w:r>
      <w:proofErr w:type="gramStart"/>
      <w:r w:rsidRPr="00FE7F1C">
        <w:rPr>
          <w:rFonts w:ascii="PT Astra Serif" w:hAnsi="PT Astra Serif"/>
          <w:sz w:val="28"/>
        </w:rPr>
        <w:t>контроль за</w:t>
      </w:r>
      <w:proofErr w:type="gramEnd"/>
      <w:r w:rsidRPr="00FE7F1C">
        <w:rPr>
          <w:rFonts w:ascii="PT Astra Serif" w:hAnsi="PT Astra Serif"/>
          <w:sz w:val="28"/>
        </w:rPr>
        <w:t xml:space="preserve"> выполнением НМР;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и внедрение в экспертную практику методических материалов по производству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рассмотрение научно-технических средств судебной экспертизы, дополнительных профессиональных программ по экспертным специальностям и внедрение их в экспертную практику;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публикация методических материалов по производству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подготовка «Информационного бюллетеня новых методических разработок, рекомендованных к внедрению в практику судебно-экспертных учреждений Министерства юстиции Российской Федерации»;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анализ и оценка эффективности НМО в РФЦСЭ, РЦСЭ, ЛСЭ.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II. Организация научно-методических работ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10. НМР в РФЦСЭ, РЦСЭ, ЛСЭ проводятся в соответствии </w:t>
      </w:r>
      <w:proofErr w:type="gramStart"/>
      <w:r w:rsidRPr="00FE7F1C">
        <w:rPr>
          <w:rFonts w:ascii="PT Astra Serif" w:hAnsi="PT Astra Serif"/>
          <w:sz w:val="28"/>
        </w:rPr>
        <w:t>с</w:t>
      </w:r>
      <w:proofErr w:type="gramEnd"/>
      <w:r w:rsidRPr="00FE7F1C">
        <w:rPr>
          <w:rFonts w:ascii="PT Astra Serif" w:hAnsi="PT Astra Serif"/>
          <w:sz w:val="28"/>
        </w:rPr>
        <w:t>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планом основных научно-методических работ в области судебной экспертизы (далее – план), утверждаемым РФЦСЭ;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полугодовыми планами работы РЦСЭ, ЛСЭ и структурных подразделений РФЦСЭ, в которых предусмотрены разделы по НМР.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11. В план включаются НМР, обеспечивающие решение актуальных научно-методических проблем в области судебной экспертизы.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</w:r>
      <w:proofErr w:type="gramStart"/>
      <w:r w:rsidRPr="00FE7F1C">
        <w:rPr>
          <w:rFonts w:ascii="PT Astra Serif" w:hAnsi="PT Astra Serif"/>
          <w:sz w:val="28"/>
        </w:rPr>
        <w:t xml:space="preserve">В плане указываются: наименование темы, содержание задания; сроки выполнения; ожидаемые результаты, форма «выхода» по темам </w:t>
      </w:r>
      <w:proofErr w:type="gramEnd"/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 заданиям.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12. Проект плана готовит РФЦСЭ с учетом предложений СЭУ Минюста России и представляет в Минюст России на согласование.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13. НМР включаются в план на основании записок об их проведении, в которых указываются: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наименование проблем (тем) НМР, планируемых к разработке;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научные руководители и исполнители по темам НМР с указанием места их работы;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обоснование актуальности, практической значимости и новизны </w:t>
      </w:r>
      <w:r w:rsidRPr="00FE7F1C">
        <w:rPr>
          <w:rFonts w:ascii="PT Astra Serif" w:hAnsi="PT Astra Serif"/>
          <w:sz w:val="28"/>
        </w:rPr>
        <w:lastRenderedPageBreak/>
        <w:t>проведения исследований по заявляемым темам НМР;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ожидаемые результаты НМР;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наименование организаций, где планируется провести </w:t>
      </w:r>
      <w:proofErr w:type="spellStart"/>
      <w:r w:rsidRPr="00FE7F1C">
        <w:rPr>
          <w:rFonts w:ascii="PT Astra Serif" w:hAnsi="PT Astra Serif"/>
          <w:sz w:val="28"/>
        </w:rPr>
        <w:t>валидацию</w:t>
      </w:r>
      <w:proofErr w:type="spellEnd"/>
      <w:r w:rsidRPr="00FE7F1C">
        <w:rPr>
          <w:rFonts w:ascii="PT Astra Serif" w:hAnsi="PT Astra Serif"/>
          <w:sz w:val="28"/>
        </w:rPr>
        <w:t xml:space="preserve"> подготовленных методических материалов по производству судебной экспертизы;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источники и порядок финансирования НМР, используемая при их проведении материально-техническая база;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другие возможные условия и требования.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14. Записки по темам НМР готовятся на основе анализа и обобщения потребностей экспертной, судебной и следственной практики.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15. К записке прилагаются рабочая программа, две рецензии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на записку.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16. Рабочая программа включает следующие разделы: цель работы, задачи, этапы (задания) с указанием сроков выполнения, сведения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proofErr w:type="gramStart"/>
      <w:r w:rsidRPr="00FE7F1C">
        <w:rPr>
          <w:rFonts w:ascii="PT Astra Serif" w:hAnsi="PT Astra Serif"/>
          <w:sz w:val="28"/>
        </w:rPr>
        <w:t xml:space="preserve">об исполнителях – число исполнителей (экспертный состав </w:t>
      </w:r>
      <w:proofErr w:type="gramEnd"/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 обслуживающий персонал).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17. Рецензия включает следующие разделы: анализ актуальности, теоретической и практической значимости, новизны исследований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по заявляемой теме, соответствие записки и рабочей программы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(по всем пунктам) объему, целям и задачам, поставленным в работе. Рецензия утверждается руководителем организации, где работает рецензент. Рецензия выполняется государственными судебными экспертами СЭУ Минюста России, а при необходимости работниками сторонних организаций.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18. Записки по темам НМР готовятся на основе анализа и обобщения потребностей экспертной, судебной и следственной практики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определенных видах НМО судебной экспертизы.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19. Записки с приложениями для формирования проекта плана принимаются к рассмотрению в РФЦСЭ ежегодно до 1 сентября.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В течение 30 рабочих дней после поступления проводится их обсуждение в соответствующих секциях НМС. По результатам обсуждения составляется протокол, который представляется на рассмотрение в НМС. НМР включаются в проект плана в случае положительного решения НМС.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20. Сформированный проект плана выносится на обсуждение Ученого совета РФЦСЭ. После одобрения Ученым советом РФЦСЭ план вместе с пояснительной запиской к нему направляется на согласование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Минюст России. Согласованный план утверждается приказом РФЦСЭ.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lastRenderedPageBreak/>
        <w:tab/>
        <w:t xml:space="preserve">Пояснительная записка к плану состоит из общей характеристики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 количества тем и заданий, выходных материалов завершающихся тем.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21. Организация НМР в РЦСЭ, ЛСЭ осуществляется в соответствии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с пунктами 13 – 19 Положения. Утверждение тематики НМР в РЦСЭ, ЛСЭ осуществляется руководством РЦСЭ и ЛСЭ соответственно.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22. РФЦСЭ осуществляет координацию деятельности по тематике НМР в РЦСЭ, ЛСЭ. Для осуществления указанной работы руководители РЦСЭ, ЛСЭ направляют тему научно-методической работы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на согласование в РФЦСЭ, где она рассматривается соответствующими секциями НМС.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23. В течение  календарного года в РФЦСЭ, РЦСЭ, ЛСЭ готовятся промежуточные (квартальные) справки по НМР (по конкретной работе).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Структурными элементами промежуточной (квартальной) справки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являются: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титульный лист;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список исполнителей;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краткое содержание выполненных работ.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Титульный лист является первой страницей промежуточной (квартальной) справки и служит источником информации, необходимой для обработки и поиска отчета в информационной среде.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На титульном листе приводятся следующие сведения: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а) наименование министерства (ведомства) или другого структурного образования, в систему которого входит организация-исполнитель;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б) наименование (полное и сокращенное) организации – исполнителя работы;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в) вид документа (отчет о работе);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г) наименование работы;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д) наименование отчета;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е) вид отчета;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ж) номер темы;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з) должность, ученая степень, ученое звание, подпись, инициалы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 фамилия научного руководителя (руководителей) НМР (конкретной работы).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В список исполнителей должны быть включены фамилии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и инициалы, должности, ученые степени, ученые звания и подписи руководителей работы, ответственных исполнителей, исполнителей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и соисполнителей, принимавших непосредственное участие в выполнении работы, с указанием их роли в подготовке промежуточной (квартальной) </w:t>
      </w:r>
      <w:r w:rsidRPr="00FE7F1C">
        <w:rPr>
          <w:rFonts w:ascii="PT Astra Serif" w:hAnsi="PT Astra Serif"/>
          <w:sz w:val="28"/>
        </w:rPr>
        <w:lastRenderedPageBreak/>
        <w:t>справки.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Если промежуточная (квартальная) справка выполнена одним исполнителем, его должность, ученую степень, ученое звание, фамилию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 инициалы следует указывать на титульном листе. В этом случае список исполнителей не оформляют.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Краткое содержание выполненных работ включает наименование всех разделов и (или) подразделов, пунктов (если они имеют наименование), список использованных источников и наименования приложений с указанием номеров страниц, с которых они начинаются  (при наличии).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24. По окончании календарного года в РФЦСЭ, РЦСЭ, ЛСЭ готовятся итоговые материалы: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промежуточный отчет о НМР (по переходящим темам);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заключительный отчет о НМР (по завершенным темам);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протокол испытаний НМР, включающий определение достоверности получаемых результатов, </w:t>
      </w:r>
      <w:proofErr w:type="spellStart"/>
      <w:r w:rsidRPr="00FE7F1C">
        <w:rPr>
          <w:rFonts w:ascii="PT Astra Serif" w:hAnsi="PT Astra Serif"/>
          <w:sz w:val="28"/>
        </w:rPr>
        <w:t>воспроизводимости</w:t>
      </w:r>
      <w:proofErr w:type="spellEnd"/>
      <w:r w:rsidRPr="00FE7F1C">
        <w:rPr>
          <w:rFonts w:ascii="PT Astra Serif" w:hAnsi="PT Astra Serif"/>
          <w:sz w:val="28"/>
        </w:rPr>
        <w:t>, допустимости применения их в экспертной практике;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протокол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 по НМР;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по завершенным темам – авторский вариант методических материалов по судебной экспертизе.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25. Содержание промежуточного и заключительного отчетов о НМР определяется РФЦСЭ.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center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III. </w:t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 по производству судебной экспертизы и внедрение научно-методического обеспечения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26. </w:t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 по производству судебной экспертизы (далее – </w:t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) проводится для установления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их пригодности при производстве конкретного направления судебных экспертиз и экспертных исследований; для обеспечения единого научно-</w:t>
      </w:r>
      <w:proofErr w:type="gramStart"/>
      <w:r w:rsidRPr="00FE7F1C">
        <w:rPr>
          <w:rFonts w:ascii="PT Astra Serif" w:hAnsi="PT Astra Serif"/>
          <w:sz w:val="28"/>
        </w:rPr>
        <w:t>методического подхода</w:t>
      </w:r>
      <w:proofErr w:type="gramEnd"/>
      <w:r w:rsidRPr="00FE7F1C">
        <w:rPr>
          <w:rFonts w:ascii="PT Astra Serif" w:hAnsi="PT Astra Serif"/>
          <w:sz w:val="28"/>
        </w:rPr>
        <w:t xml:space="preserve"> и системы менеджмента качества в РФЦСЭ, РЦСЭ, ЛСЭ.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27. В процессе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 готовится отчет, содержащий описание плана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, проведенных экспериментальных работ, выводы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по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. При положительном выводе по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методические материалы рекомендуются к внедрению в экспертную практику.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Отчет о </w:t>
      </w:r>
      <w:proofErr w:type="spellStart"/>
      <w:r w:rsidRPr="00FE7F1C">
        <w:rPr>
          <w:rFonts w:ascii="PT Astra Serif" w:hAnsi="PT Astra Serif"/>
          <w:sz w:val="28"/>
        </w:rPr>
        <w:t>валидации</w:t>
      </w:r>
      <w:proofErr w:type="spellEnd"/>
      <w:r w:rsidRPr="00FE7F1C">
        <w:rPr>
          <w:rFonts w:ascii="PT Astra Serif" w:hAnsi="PT Astra Serif"/>
          <w:sz w:val="28"/>
        </w:rPr>
        <w:t xml:space="preserve"> рассматривается на заседании соответствующей секции НМС и представляется на утверждение в НМС.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lastRenderedPageBreak/>
        <w:tab/>
        <w:t xml:space="preserve">28. </w:t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осуществляется непосредственными исполнителями НМР, представителями РФЦСЭ, РЦСЭ, ЛСЭ и иных организаций, обладающими соответствующей квалификацией и опытом.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29. </w:t>
      </w:r>
      <w:proofErr w:type="spellStart"/>
      <w:r w:rsidRPr="00FE7F1C">
        <w:rPr>
          <w:rFonts w:ascii="PT Astra Serif" w:hAnsi="PT Astra Serif"/>
          <w:sz w:val="28"/>
        </w:rPr>
        <w:t>Валидация</w:t>
      </w:r>
      <w:proofErr w:type="spellEnd"/>
      <w:r w:rsidRPr="00FE7F1C">
        <w:rPr>
          <w:rFonts w:ascii="PT Astra Serif" w:hAnsi="PT Astra Serif"/>
          <w:sz w:val="28"/>
        </w:rPr>
        <w:t xml:space="preserve"> методических материалов, разработанных вне плана, организуется РФЦСЭ на основе рассмотрения соответствующих заявлений и проводится согласно пункту 27 Положения.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30. НМС рассматривает протокол секции НМС и утверждает решение, принятое на заседании секции НМС.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31. НМР в виде рефератов после обсуждения и одобрения на НМС выносятся на рассмотрение Консультационного совета по проблемам судебно-экспертной деятельности при Минюсте России (далее – Консультационный совет).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32. Решение вопроса о внедрении в экспертную практику результатов НМР осуществляется после рассмотрения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на Консультационном совете.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33. Публикация методических материалов осуществляется РФЦСЭ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соответствии с ежегодным тематическим планом выпуска ведомственных изданий в области судебной экспертизы на основе решения НМС.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34. Методические материалы, рекомендованные к внедрению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>в экспертную практику РФЦСЭ, РЦСЭ, ЛСЭ, после опубликования включаются в «Информационный бюллетень новых методических разработок, рекомендованных к внедрению в практику судебно-экспертных учреждений Министерства юстиции Российской Федерации», а также по запросу направляются в суды и следственные органы.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35. В течение 30 календарных дней после размещения на официальном сайте РФЦСЭ «Информационного бюллетеня новых методических разработок, рекомендованных к внедрению в практику судебно-экспертных учреждений Министерства юстиции Российской Федерации» РЦСЭ, ЛСЭ высылают в РФЦСЭ акт о внедрении результатов научно-методической работы в экспертную практику (рекомендуемый образец приведен в приложении к Положению).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 xml:space="preserve">36. НМС ежегодно проводится анализ НМО на основе справок </w:t>
      </w:r>
    </w:p>
    <w:p w:rsidR="00FE7F1C" w:rsidRPr="00FE7F1C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 xml:space="preserve">о внедрении, </w:t>
      </w:r>
      <w:proofErr w:type="gramStart"/>
      <w:r w:rsidRPr="00FE7F1C">
        <w:rPr>
          <w:rFonts w:ascii="PT Astra Serif" w:hAnsi="PT Astra Serif"/>
          <w:sz w:val="28"/>
        </w:rPr>
        <w:t>поступивших</w:t>
      </w:r>
      <w:proofErr w:type="gramEnd"/>
      <w:r w:rsidRPr="00FE7F1C">
        <w:rPr>
          <w:rFonts w:ascii="PT Astra Serif" w:hAnsi="PT Astra Serif"/>
          <w:sz w:val="28"/>
        </w:rPr>
        <w:t xml:space="preserve"> в РФЦСЭ из СЭУ Минюста России.</w:t>
      </w:r>
    </w:p>
    <w:p w:rsidR="00FF7F4A" w:rsidRDefault="00FE7F1C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  <w:r w:rsidRPr="00FE7F1C">
        <w:rPr>
          <w:rFonts w:ascii="PT Astra Serif" w:hAnsi="PT Astra Serif"/>
          <w:sz w:val="28"/>
        </w:rPr>
        <w:tab/>
        <w:t>37. Данные анализа направляются в структурное подразделение Министерства юстиции Российской Фед</w:t>
      </w:r>
      <w:r>
        <w:rPr>
          <w:rFonts w:ascii="PT Astra Serif" w:hAnsi="PT Astra Serif"/>
          <w:sz w:val="28"/>
        </w:rPr>
        <w:t xml:space="preserve">ерации, курирующее деятельность </w:t>
      </w:r>
      <w:r w:rsidRPr="00FE7F1C">
        <w:rPr>
          <w:rFonts w:ascii="PT Astra Serif" w:hAnsi="PT Astra Serif"/>
          <w:sz w:val="28"/>
        </w:rPr>
        <w:t>СЭУ Минюста России.</w:t>
      </w:r>
    </w:p>
    <w:p w:rsidR="00C427A9" w:rsidRDefault="00C427A9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p w:rsidR="00C427A9" w:rsidRPr="00C427A9" w:rsidRDefault="00C427A9" w:rsidP="00C427A9">
      <w:pPr>
        <w:spacing w:line="240" w:lineRule="auto"/>
        <w:ind w:left="4395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bookmarkStart w:id="0" w:name="_GoBack"/>
      <w:bookmarkEnd w:id="0"/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lastRenderedPageBreak/>
        <w:t xml:space="preserve">ПРИЛОЖЕНИЕ </w:t>
      </w:r>
    </w:p>
    <w:p w:rsidR="00C427A9" w:rsidRPr="00C427A9" w:rsidRDefault="00C427A9" w:rsidP="00C427A9">
      <w:pPr>
        <w:spacing w:line="240" w:lineRule="auto"/>
        <w:ind w:left="4395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к Положению о научно-методическом обеспечении судебно-экспертной деятельности в федеральных бюджетных судебно-экспертных учреждениях Министерства юстиции Российской Федерации</w:t>
      </w:r>
    </w:p>
    <w:p w:rsidR="00C427A9" w:rsidRPr="00C427A9" w:rsidRDefault="00C427A9" w:rsidP="00C427A9">
      <w:pPr>
        <w:spacing w:line="240" w:lineRule="auto"/>
        <w:ind w:left="5103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</w:p>
    <w:p w:rsidR="00C427A9" w:rsidRPr="00C427A9" w:rsidRDefault="00C427A9" w:rsidP="00C427A9">
      <w:pPr>
        <w:spacing w:line="240" w:lineRule="auto"/>
        <w:ind w:left="3119"/>
        <w:jc w:val="right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Рекомендуемый образец</w:t>
      </w:r>
    </w:p>
    <w:p w:rsidR="00C427A9" w:rsidRPr="00C427A9" w:rsidRDefault="00C427A9" w:rsidP="00C427A9">
      <w:pPr>
        <w:spacing w:line="240" w:lineRule="auto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</w:p>
    <w:p w:rsidR="00C427A9" w:rsidRPr="00C427A9" w:rsidRDefault="00C427A9" w:rsidP="00C427A9">
      <w:pPr>
        <w:spacing w:line="240" w:lineRule="auto"/>
        <w:ind w:left="6096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УТВЕРЖДАЮ</w:t>
      </w:r>
    </w:p>
    <w:p w:rsidR="00C427A9" w:rsidRPr="00C427A9" w:rsidRDefault="00C427A9" w:rsidP="00C427A9">
      <w:pPr>
        <w:spacing w:line="240" w:lineRule="auto"/>
        <w:ind w:left="6096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____________должность</w:t>
      </w:r>
    </w:p>
    <w:p w:rsidR="00C427A9" w:rsidRPr="00C427A9" w:rsidRDefault="00C427A9" w:rsidP="00C427A9">
      <w:pPr>
        <w:spacing w:line="240" w:lineRule="auto"/>
        <w:ind w:left="6096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______________подпись</w:t>
      </w:r>
    </w:p>
    <w:p w:rsidR="00C427A9" w:rsidRPr="00C427A9" w:rsidRDefault="00C427A9" w:rsidP="00C427A9">
      <w:pPr>
        <w:spacing w:line="240" w:lineRule="auto"/>
        <w:ind w:left="6096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_____________________</w:t>
      </w:r>
    </w:p>
    <w:p w:rsidR="00C427A9" w:rsidRPr="00C427A9" w:rsidRDefault="00C427A9" w:rsidP="00C427A9">
      <w:pPr>
        <w:spacing w:line="240" w:lineRule="auto"/>
        <w:ind w:left="5954"/>
        <w:rPr>
          <w:rFonts w:ascii="PT Astra Serif" w:hAnsi="PT Astra Serif"/>
          <w:color w:val="auto"/>
          <w:sz w:val="20"/>
        </w:rPr>
      </w:pPr>
      <w:r w:rsidRPr="00C427A9">
        <w:rPr>
          <w:rFonts w:ascii="PT Astra Serif" w:hAnsi="PT Astra Serif"/>
          <w:color w:val="auto"/>
          <w:sz w:val="20"/>
        </w:rPr>
        <w:t>(должность, фамилия, имя, отчество, последнее – при наличии)</w:t>
      </w:r>
    </w:p>
    <w:p w:rsidR="00C427A9" w:rsidRPr="00C427A9" w:rsidRDefault="00C427A9" w:rsidP="00C427A9">
      <w:pPr>
        <w:spacing w:line="240" w:lineRule="auto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</w:p>
    <w:p w:rsidR="00C427A9" w:rsidRPr="00C427A9" w:rsidRDefault="00C427A9" w:rsidP="00C427A9">
      <w:pPr>
        <w:spacing w:line="240" w:lineRule="auto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312"/>
        <w:gridCol w:w="185"/>
        <w:gridCol w:w="4572"/>
        <w:gridCol w:w="1972"/>
      </w:tblGrid>
      <w:tr w:rsidR="00C427A9" w:rsidRPr="00C427A9" w:rsidTr="000901AD">
        <w:tc>
          <w:tcPr>
            <w:tcW w:w="907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b/>
                <w:bCs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b/>
                <w:bCs/>
                <w:color w:val="auto"/>
                <w:sz w:val="28"/>
                <w:szCs w:val="28"/>
              </w:rPr>
              <w:t>Акт о внедрении</w:t>
            </w:r>
            <w:r w:rsidRPr="00C427A9">
              <w:rPr>
                <w:rFonts w:ascii="PT Astra Serif" w:hAnsi="PT Astra Serif"/>
                <w:b/>
                <w:bCs/>
                <w:color w:val="auto"/>
                <w:sz w:val="28"/>
                <w:szCs w:val="28"/>
              </w:rPr>
              <w:br/>
              <w:t xml:space="preserve">результатов научно-методической работы </w:t>
            </w:r>
            <w:r w:rsidRPr="00C427A9">
              <w:rPr>
                <w:rFonts w:ascii="PT Astra Serif" w:eastAsia="Calibri" w:hAnsi="PT Astra Serif"/>
                <w:b/>
                <w:color w:val="auto"/>
                <w:sz w:val="28"/>
                <w:szCs w:val="28"/>
                <w:lang w:eastAsia="en-US"/>
              </w:rPr>
              <w:t>в экспертную практику</w:t>
            </w:r>
            <w:r w:rsidRPr="00C427A9">
              <w:rPr>
                <w:rFonts w:ascii="PT Astra Serif" w:hAnsi="PT Astra Serif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C427A9" w:rsidRPr="00C427A9" w:rsidTr="000901AD">
        <w:tc>
          <w:tcPr>
            <w:tcW w:w="2341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475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0"/>
                <w:szCs w:val="28"/>
              </w:rPr>
              <w:t>(наименование научно-методической работы)</w:t>
            </w:r>
          </w:p>
        </w:tc>
      </w:tr>
      <w:tr w:rsidR="00C427A9" w:rsidRPr="00C427A9" w:rsidTr="000901AD">
        <w:tc>
          <w:tcPr>
            <w:tcW w:w="907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  <w:bdr w:val="none" w:sz="0" w:space="0" w:color="auto" w:frame="1"/>
              </w:rPr>
              <w:t>Комиссия в составе</w:t>
            </w: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: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председатель:</w:t>
            </w:r>
          </w:p>
        </w:tc>
      </w:tr>
      <w:tr w:rsidR="00C427A9" w:rsidRPr="00C427A9" w:rsidTr="000901AD">
        <w:tc>
          <w:tcPr>
            <w:tcW w:w="20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7041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(должность, фамилия, имя, отчество, последнее – при наличии)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члены комиссии:</w:t>
            </w:r>
          </w:p>
        </w:tc>
      </w:tr>
      <w:tr w:rsidR="00C427A9" w:rsidRPr="00C427A9" w:rsidTr="000901AD">
        <w:tc>
          <w:tcPr>
            <w:tcW w:w="2341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672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(должность, фамилия, имя, отчество, последнее – при наличии)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провела приемку:</w:t>
            </w:r>
          </w:p>
        </w:tc>
      </w:tr>
      <w:tr w:rsidR="00C427A9" w:rsidRPr="00C427A9" w:rsidTr="000901AD">
        <w:tc>
          <w:tcPr>
            <w:tcW w:w="252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65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(наименование работы, полученный результат)</w:t>
            </w:r>
          </w:p>
        </w:tc>
      </w:tr>
      <w:tr w:rsidR="00C427A9" w:rsidRPr="00C427A9" w:rsidTr="000901AD">
        <w:tc>
          <w:tcPr>
            <w:tcW w:w="907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выполненного</w:t>
            </w:r>
          </w:p>
        </w:tc>
        <w:tc>
          <w:tcPr>
            <w:tcW w:w="704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20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7041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C427A9">
              <w:rPr>
                <w:rFonts w:ascii="PT Astra Serif" w:hAnsi="PT Astra Serif"/>
                <w:color w:val="auto"/>
                <w:sz w:val="20"/>
                <w:szCs w:val="28"/>
              </w:rPr>
              <w:t>(наименование организации-исполнителя, фамилия и инициалы автора (авторов)</w:t>
            </w:r>
            <w:proofErr w:type="gramEnd"/>
          </w:p>
        </w:tc>
      </w:tr>
      <w:tr w:rsidR="00C427A9" w:rsidRPr="00C427A9" w:rsidTr="000901AD">
        <w:tc>
          <w:tcPr>
            <w:tcW w:w="202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на основании:</w:t>
            </w:r>
          </w:p>
        </w:tc>
        <w:tc>
          <w:tcPr>
            <w:tcW w:w="7041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(наименование, дата, номер документа (плана), на основании которого выполнена работа)</w:t>
            </w:r>
          </w:p>
        </w:tc>
      </w:tr>
      <w:tr w:rsidR="00C427A9" w:rsidRPr="00C427A9" w:rsidTr="000901AD">
        <w:tc>
          <w:tcPr>
            <w:tcW w:w="9070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  <w:bdr w:val="none" w:sz="0" w:space="0" w:color="auto" w:frame="1"/>
              </w:rPr>
              <w:t>В результате приемки научно-методической работы комиссия</w:t>
            </w: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: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1. Установила, что работа выполнена в полном объеме и соответствует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рабочей программе.</w:t>
            </w:r>
            <w:r w:rsidRPr="00C427A9">
              <w:rPr>
                <w:rFonts w:ascii="PT Astra Serif" w:hAnsi="PT Astra Serif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F7F168E" wp14:editId="69910426">
                      <wp:extent cx="103505" cy="222885"/>
                      <wp:effectExtent l="0" t="0" r="0" b="0"/>
                      <wp:docPr id="23" name="AutoShape 34" descr="data:image;base64,R0lGODdhCwAXAIABAAAAAP///ywAAAAACwAXAAACGoyPqct9ABd4bjbLsNKJI+tBokOW5ommalIA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4" o:spid="_x0000_s1026" alt="data:image;base64,R0lGODdhCwAXAIABAAAAAP///ywAAAAACwAXAAACGoyPqct9ABd4bjbLsNKJI+tBokOW5ommalIAADs=" style="width: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2. Решила: работу считать законченной (невыполненной) и принятой 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(</w:t>
            </w: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непринятой</w:t>
            </w:r>
            <w:proofErr w:type="gramEnd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); характеризовать работу следующим образом: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  <w:bdr w:val="none" w:sz="0" w:space="0" w:color="auto" w:frame="1"/>
              </w:rPr>
              <w:t xml:space="preserve">Характеристика представленного научного исследования 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  <w:bdr w:val="none" w:sz="0" w:space="0" w:color="auto" w:frame="1"/>
              </w:rPr>
              <w:t>и ее обоснование</w:t>
            </w: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: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tabs>
                <w:tab w:val="left" w:pos="9054"/>
              </w:tabs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 степени решения поставленных задач, сформулированных в заявке 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tabs>
                <w:tab w:val="left" w:pos="9054"/>
              </w:tabs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(</w:t>
            </w: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задании</w:t>
            </w:r>
            <w:proofErr w:type="gramEnd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) на проведение научно-методической работы и рабочей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tabs>
                <w:tab w:val="left" w:pos="9054"/>
              </w:tabs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программной документации (решены в достаточной мере, в основном</w:t>
            </w:r>
            <w:proofErr w:type="gramEnd"/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решены, частично решены, не решены).</w:t>
            </w:r>
          </w:p>
        </w:tc>
      </w:tr>
      <w:tr w:rsidR="00C427A9" w:rsidRPr="00C427A9" w:rsidTr="000901AD">
        <w:tc>
          <w:tcPr>
            <w:tcW w:w="90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lastRenderedPageBreak/>
              <w:t>(краткое обоснование сделанных выводов)</w:t>
            </w:r>
          </w:p>
        </w:tc>
      </w:tr>
    </w:tbl>
    <w:p w:rsidR="00C427A9" w:rsidRPr="00C427A9" w:rsidRDefault="00C427A9" w:rsidP="00C427A9">
      <w:pPr>
        <w:spacing w:line="240" w:lineRule="auto"/>
        <w:ind w:firstLine="480"/>
        <w:jc w:val="left"/>
        <w:textAlignment w:val="baseline"/>
        <w:rPr>
          <w:rFonts w:ascii="PT Astra Serif" w:hAnsi="PT Astra Serif"/>
          <w:color w:val="444444"/>
          <w:sz w:val="28"/>
          <w:szCs w:val="28"/>
        </w:rPr>
      </w:pPr>
    </w:p>
    <w:tbl>
      <w:tblPr>
        <w:tblW w:w="16924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952"/>
        <w:gridCol w:w="5873"/>
        <w:gridCol w:w="7852"/>
      </w:tblGrid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tabs>
                <w:tab w:val="left" w:pos="9004"/>
              </w:tabs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 новизне результатов научно-методической работы 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(принципиально новые результаты и выводы, результаты в основном</w:t>
            </w:r>
            <w:proofErr w:type="gramEnd"/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имеют новые подходы в решении поставленных задач, результаты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получены и систематизированы на основе обобщения </w:t>
            </w: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имеющихся</w:t>
            </w:r>
            <w:proofErr w:type="gramEnd"/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материалов и мнений, результаты не являются новыми или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отсутствуют).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(краткое обоснование сделанных выводов)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 вероятности результативного применения научно-методической 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 xml:space="preserve">работы в практической деятельности (высокая, средняя, низкая, </w:t>
            </w:r>
            <w:proofErr w:type="gramEnd"/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427A9" w:rsidRPr="00C427A9" w:rsidRDefault="00C427A9" w:rsidP="00C427A9">
            <w:pPr>
              <w:spacing w:line="240" w:lineRule="auto"/>
              <w:jc w:val="both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отсутствует).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(краткое обоснование сделанных выводов)</w:t>
            </w:r>
          </w:p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(излагаются имеющиеся замечания и предложения)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3. Предлагает: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6825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  <w:r w:rsidRPr="00C427A9">
              <w:rPr>
                <w:rFonts w:ascii="PT Astra Serif" w:hAnsi="PT Astra Serif"/>
                <w:color w:val="auto"/>
                <w:sz w:val="20"/>
              </w:rPr>
              <w:t>(рекомендации о формах и сроках внедрения научной продукции)</w:t>
            </w:r>
          </w:p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0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2"/>
                <w:szCs w:val="28"/>
              </w:rPr>
              <w:t>(наименования подразделений, в которые внедряется научная продукция)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4. Мероприятия по авторскому сопровождению:</w:t>
            </w:r>
          </w:p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Приложения:</w:t>
            </w:r>
          </w:p>
        </w:tc>
        <w:tc>
          <w:tcPr>
            <w:tcW w:w="7852" w:type="dxa"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31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righ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C427A9" w:rsidRPr="00C427A9" w:rsidRDefault="00C427A9" w:rsidP="00C427A9">
            <w:pPr>
              <w:spacing w:line="240" w:lineRule="auto"/>
              <w:jc w:val="righ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Председатель комиссии</w:t>
            </w:r>
          </w:p>
        </w:tc>
        <w:tc>
          <w:tcPr>
            <w:tcW w:w="587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319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587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(специальное звание, подпись, инициалы, фамилия)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319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right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Члены комиссии:</w:t>
            </w:r>
          </w:p>
        </w:tc>
        <w:tc>
          <w:tcPr>
            <w:tcW w:w="587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3199" w:type="dxa"/>
            <w:gridSpan w:val="2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</w:tc>
        <w:tc>
          <w:tcPr>
            <w:tcW w:w="5873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textAlignment w:val="baseline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C427A9">
              <w:rPr>
                <w:rFonts w:ascii="PT Astra Serif" w:hAnsi="PT Astra Serif"/>
                <w:color w:val="auto"/>
                <w:sz w:val="28"/>
                <w:szCs w:val="28"/>
              </w:rPr>
              <w:t>(специальные звания, подписи, инициалы, фамилии)</w:t>
            </w:r>
          </w:p>
        </w:tc>
      </w:tr>
      <w:tr w:rsidR="00C427A9" w:rsidRPr="00C427A9" w:rsidTr="000901AD">
        <w:trPr>
          <w:gridAfter w:val="1"/>
          <w:wAfter w:w="7852" w:type="dxa"/>
        </w:trPr>
        <w:tc>
          <w:tcPr>
            <w:tcW w:w="9072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427A9" w:rsidRPr="00C427A9" w:rsidRDefault="00C427A9" w:rsidP="00C427A9">
            <w:pPr>
              <w:spacing w:line="240" w:lineRule="auto"/>
              <w:jc w:val="left"/>
              <w:rPr>
                <w:rFonts w:ascii="PT Astra Serif" w:hAnsi="PT Astra Serif"/>
                <w:color w:val="auto"/>
                <w:sz w:val="16"/>
                <w:szCs w:val="28"/>
              </w:rPr>
            </w:pPr>
          </w:p>
        </w:tc>
      </w:tr>
    </w:tbl>
    <w:p w:rsidR="00C427A9" w:rsidRPr="00C427A9" w:rsidRDefault="00C427A9" w:rsidP="00C427A9">
      <w:pPr>
        <w:spacing w:line="240" w:lineRule="auto"/>
        <w:jc w:val="both"/>
        <w:rPr>
          <w:rFonts w:ascii="PT Astra Serif" w:eastAsia="Calibri" w:hAnsi="PT Astra Serif"/>
          <w:color w:val="auto"/>
          <w:sz w:val="28"/>
          <w:szCs w:val="28"/>
          <w:lang w:eastAsia="en-US"/>
        </w:rPr>
      </w:pPr>
      <w:r w:rsidRPr="00C427A9">
        <w:rPr>
          <w:rFonts w:ascii="PT Astra Serif" w:eastAsia="Calibri" w:hAnsi="PT Astra Serif"/>
          <w:color w:val="auto"/>
          <w:sz w:val="28"/>
          <w:szCs w:val="28"/>
          <w:lang w:eastAsia="en-US"/>
        </w:rPr>
        <w:t>«______»__________2022 г.</w:t>
      </w:r>
    </w:p>
    <w:p w:rsidR="00C427A9" w:rsidRDefault="00C427A9" w:rsidP="00FE7F1C">
      <w:pPr>
        <w:pStyle w:val="ConsPlusNormal"/>
        <w:spacing w:line="360" w:lineRule="atLeast"/>
        <w:jc w:val="both"/>
        <w:rPr>
          <w:rFonts w:ascii="PT Astra Serif" w:hAnsi="PT Astra Serif"/>
          <w:sz w:val="28"/>
        </w:rPr>
      </w:pPr>
    </w:p>
    <w:sectPr w:rsidR="00C427A9" w:rsidSect="00FE7F1C">
      <w:headerReference w:type="default" r:id="rId8"/>
      <w:pgSz w:w="11906" w:h="16838"/>
      <w:pgMar w:top="1418" w:right="1418" w:bottom="170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EB" w:rsidRDefault="00FE7F1C">
      <w:pPr>
        <w:spacing w:line="240" w:lineRule="auto"/>
      </w:pPr>
      <w:r>
        <w:separator/>
      </w:r>
    </w:p>
  </w:endnote>
  <w:endnote w:type="continuationSeparator" w:id="0">
    <w:p w:rsidR="00B17FEB" w:rsidRDefault="00FE7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EB" w:rsidRDefault="00FE7F1C">
      <w:pPr>
        <w:spacing w:line="240" w:lineRule="auto"/>
      </w:pPr>
      <w:r>
        <w:separator/>
      </w:r>
    </w:p>
  </w:footnote>
  <w:footnote w:type="continuationSeparator" w:id="0">
    <w:p w:rsidR="00B17FEB" w:rsidRDefault="00FE7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F4A" w:rsidRDefault="00FE7F1C">
    <w:pPr>
      <w:pStyle w:val="a6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8F7BFE">
      <w:rPr>
        <w:rFonts w:ascii="PT Astra Serif" w:hAnsi="PT Astra Serif"/>
        <w:noProof/>
        <w:sz w:val="28"/>
      </w:rPr>
      <w:t>10</w:t>
    </w:r>
    <w:r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0FE7"/>
    <w:multiLevelType w:val="multilevel"/>
    <w:tmpl w:val="913E9AE4"/>
    <w:lvl w:ilvl="0">
      <w:start w:val="1"/>
      <w:numFmt w:val="bullet"/>
      <w:pStyle w:val="1"/>
      <w:lvlText w:val=""/>
      <w:lvlJc w:val="left"/>
      <w:pPr>
        <w:tabs>
          <w:tab w:val="left" w:pos="709"/>
        </w:tabs>
        <w:ind w:left="709" w:hanging="284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F7F4A"/>
    <w:rsid w:val="008F7BFE"/>
    <w:rsid w:val="00B17FEB"/>
    <w:rsid w:val="00C427A9"/>
    <w:rsid w:val="00FE7F1C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FE7F1C"/>
    <w:pPr>
      <w:spacing w:after="0" w:line="360" w:lineRule="exact"/>
      <w:jc w:val="center"/>
    </w:pPr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line="240" w:lineRule="auto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40" w:lineRule="auto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auto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styleId="a3">
    <w:name w:val="Body Text Indent"/>
    <w:basedOn w:val="a"/>
    <w:link w:val="a4"/>
    <w:pPr>
      <w:widowControl w:val="0"/>
      <w:spacing w:line="264" w:lineRule="auto"/>
      <w:ind w:left="4962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Просмотренная гиперссылка1"/>
    <w:basedOn w:val="14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3"/>
    <w:rPr>
      <w:color w:val="800080" w:themeColor="followedHyperlink"/>
      <w:u w:val="singl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10"/>
    <w:link w:val="a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sz w:val="32"/>
    </w:rPr>
  </w:style>
  <w:style w:type="paragraph" w:customStyle="1" w:styleId="15">
    <w:name w:val="Знак сноски1"/>
    <w:basedOn w:val="14"/>
    <w:link w:val="a8"/>
    <w:rPr>
      <w:vertAlign w:val="superscript"/>
    </w:rPr>
  </w:style>
  <w:style w:type="character" w:styleId="a8">
    <w:name w:val="footnote reference"/>
    <w:basedOn w:val="a0"/>
    <w:link w:val="15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widowControl w:val="0"/>
      <w:spacing w:line="240" w:lineRule="auto"/>
      <w:ind w:right="471"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10"/>
    <w:link w:val="33"/>
    <w:rPr>
      <w:rFonts w:ascii="Times New Roman" w:hAnsi="Times New Roman"/>
      <w:sz w:val="28"/>
    </w:rPr>
  </w:style>
  <w:style w:type="paragraph" w:styleId="a9">
    <w:name w:val="Body Text"/>
    <w:basedOn w:val="a"/>
    <w:link w:val="aa"/>
    <w:pPr>
      <w:spacing w:line="240" w:lineRule="auto"/>
      <w:jc w:val="both"/>
    </w:pPr>
    <w:rPr>
      <w:sz w:val="26"/>
    </w:rPr>
  </w:style>
  <w:style w:type="character" w:customStyle="1" w:styleId="aa">
    <w:name w:val="Основной текст Знак"/>
    <w:basedOn w:val="10"/>
    <w:link w:val="a9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6">
    <w:name w:val="Номер страницы1"/>
    <w:basedOn w:val="14"/>
    <w:link w:val="ab"/>
  </w:style>
  <w:style w:type="character" w:styleId="ab">
    <w:name w:val="page number"/>
    <w:basedOn w:val="a0"/>
    <w:link w:val="16"/>
  </w:style>
  <w:style w:type="paragraph" w:customStyle="1" w:styleId="14">
    <w:name w:val="Основной шрифт абзаца1"/>
  </w:style>
  <w:style w:type="character" w:customStyle="1" w:styleId="12">
    <w:name w:val="Заголовок 1 Знак"/>
    <w:basedOn w:val="10"/>
    <w:link w:val="11"/>
    <w:rPr>
      <w:rFonts w:ascii="Times New Roman" w:hAnsi="Times New Roman"/>
      <w:b/>
      <w:sz w:val="24"/>
    </w:rPr>
  </w:style>
  <w:style w:type="paragraph" w:customStyle="1" w:styleId="17">
    <w:name w:val="Гиперссылка1"/>
    <w:basedOn w:val="14"/>
    <w:link w:val="ac"/>
    <w:rPr>
      <w:color w:val="0000FF" w:themeColor="hyperlink"/>
      <w:u w:val="single"/>
    </w:rPr>
  </w:style>
  <w:style w:type="character" w:styleId="ac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">
    <w:name w:val="Знак Знак1 Знак"/>
    <w:basedOn w:val="a"/>
    <w:link w:val="1a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a">
    <w:name w:val="Знак Знак1 Знак"/>
    <w:basedOn w:val="10"/>
    <w:link w:val="1"/>
    <w:rPr>
      <w:rFonts w:ascii="Verdana" w:hAnsi="Verdana"/>
      <w:sz w:val="20"/>
    </w:rPr>
  </w:style>
  <w:style w:type="paragraph" w:styleId="ad">
    <w:name w:val="Balloon Text"/>
    <w:basedOn w:val="a"/>
    <w:link w:val="ae"/>
    <w:pPr>
      <w:spacing w:line="240" w:lineRule="auto"/>
      <w:jc w:val="left"/>
    </w:pPr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23">
    <w:name w:val="Body Text Indent 2"/>
    <w:basedOn w:val="a"/>
    <w:link w:val="24"/>
    <w:pPr>
      <w:widowControl w:val="0"/>
      <w:spacing w:line="24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0"/>
    <w:link w:val="23"/>
    <w:rPr>
      <w:rFonts w:ascii="Times New Roman" w:hAnsi="Times New Roman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b/>
      <w:sz w:val="32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10"/>
    <w:link w:val="af3"/>
    <w:rPr>
      <w:rFonts w:ascii="Times New Roman" w:hAnsi="Times New Roman"/>
      <w:sz w:val="24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sz w:val="28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FE7F1C"/>
    <w:pPr>
      <w:spacing w:after="0" w:line="360" w:lineRule="exact"/>
      <w:jc w:val="center"/>
    </w:pPr>
    <w:rPr>
      <w:rFonts w:ascii="Times New Roman" w:hAnsi="Times New Roman"/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line="240" w:lineRule="auto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240" w:lineRule="auto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240" w:lineRule="auto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sz w:val="24"/>
    </w:rPr>
  </w:style>
  <w:style w:type="paragraph" w:styleId="a3">
    <w:name w:val="Body Text Indent"/>
    <w:basedOn w:val="a"/>
    <w:link w:val="a4"/>
    <w:pPr>
      <w:widowControl w:val="0"/>
      <w:spacing w:line="264" w:lineRule="auto"/>
      <w:ind w:left="4962"/>
    </w:pPr>
    <w:rPr>
      <w:sz w:val="28"/>
    </w:rPr>
  </w:style>
  <w:style w:type="character" w:customStyle="1" w:styleId="a4">
    <w:name w:val="Основной текст с отступом Знак"/>
    <w:basedOn w:val="10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Просмотренная гиперссылка1"/>
    <w:basedOn w:val="14"/>
    <w:link w:val="a5"/>
    <w:rPr>
      <w:color w:val="800080" w:themeColor="followedHyperlink"/>
      <w:u w:val="single"/>
    </w:rPr>
  </w:style>
  <w:style w:type="character" w:styleId="a5">
    <w:name w:val="FollowedHyperlink"/>
    <w:basedOn w:val="a0"/>
    <w:link w:val="13"/>
    <w:rPr>
      <w:color w:val="800080" w:themeColor="followedHyperlink"/>
      <w:u w:val="single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10"/>
    <w:link w:val="a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sz w:val="32"/>
    </w:rPr>
  </w:style>
  <w:style w:type="paragraph" w:customStyle="1" w:styleId="15">
    <w:name w:val="Знак сноски1"/>
    <w:basedOn w:val="14"/>
    <w:link w:val="a8"/>
    <w:rPr>
      <w:vertAlign w:val="superscript"/>
    </w:rPr>
  </w:style>
  <w:style w:type="character" w:styleId="a8">
    <w:name w:val="footnote reference"/>
    <w:basedOn w:val="a0"/>
    <w:link w:val="15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widowControl w:val="0"/>
      <w:spacing w:line="240" w:lineRule="auto"/>
      <w:ind w:right="471"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10"/>
    <w:link w:val="33"/>
    <w:rPr>
      <w:rFonts w:ascii="Times New Roman" w:hAnsi="Times New Roman"/>
      <w:sz w:val="28"/>
    </w:rPr>
  </w:style>
  <w:style w:type="paragraph" w:styleId="a9">
    <w:name w:val="Body Text"/>
    <w:basedOn w:val="a"/>
    <w:link w:val="aa"/>
    <w:pPr>
      <w:spacing w:line="240" w:lineRule="auto"/>
      <w:jc w:val="both"/>
    </w:pPr>
    <w:rPr>
      <w:sz w:val="26"/>
    </w:rPr>
  </w:style>
  <w:style w:type="character" w:customStyle="1" w:styleId="aa">
    <w:name w:val="Основной текст Знак"/>
    <w:basedOn w:val="10"/>
    <w:link w:val="a9"/>
    <w:rPr>
      <w:rFonts w:ascii="Times New Roman" w:hAnsi="Times New Roman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6">
    <w:name w:val="Номер страницы1"/>
    <w:basedOn w:val="14"/>
    <w:link w:val="ab"/>
  </w:style>
  <w:style w:type="character" w:styleId="ab">
    <w:name w:val="page number"/>
    <w:basedOn w:val="a0"/>
    <w:link w:val="16"/>
  </w:style>
  <w:style w:type="paragraph" w:customStyle="1" w:styleId="14">
    <w:name w:val="Основной шрифт абзаца1"/>
  </w:style>
  <w:style w:type="character" w:customStyle="1" w:styleId="12">
    <w:name w:val="Заголовок 1 Знак"/>
    <w:basedOn w:val="10"/>
    <w:link w:val="11"/>
    <w:rPr>
      <w:rFonts w:ascii="Times New Roman" w:hAnsi="Times New Roman"/>
      <w:b/>
      <w:sz w:val="24"/>
    </w:rPr>
  </w:style>
  <w:style w:type="paragraph" w:customStyle="1" w:styleId="17">
    <w:name w:val="Гиперссылка1"/>
    <w:basedOn w:val="14"/>
    <w:link w:val="ac"/>
    <w:rPr>
      <w:color w:val="0000FF" w:themeColor="hyperlink"/>
      <w:u w:val="single"/>
    </w:rPr>
  </w:style>
  <w:style w:type="character" w:styleId="ac">
    <w:name w:val="Hyperlink"/>
    <w:basedOn w:val="a0"/>
    <w:link w:val="17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">
    <w:name w:val="Знак Знак1 Знак"/>
    <w:basedOn w:val="a"/>
    <w:link w:val="1a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a">
    <w:name w:val="Знак Знак1 Знак"/>
    <w:basedOn w:val="10"/>
    <w:link w:val="1"/>
    <w:rPr>
      <w:rFonts w:ascii="Verdana" w:hAnsi="Verdana"/>
      <w:sz w:val="20"/>
    </w:rPr>
  </w:style>
  <w:style w:type="paragraph" w:styleId="ad">
    <w:name w:val="Balloon Text"/>
    <w:basedOn w:val="a"/>
    <w:link w:val="ae"/>
    <w:pPr>
      <w:spacing w:line="240" w:lineRule="auto"/>
      <w:jc w:val="left"/>
    </w:pPr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23">
    <w:name w:val="Body Text Indent 2"/>
    <w:basedOn w:val="a"/>
    <w:link w:val="24"/>
    <w:pPr>
      <w:widowControl w:val="0"/>
      <w:spacing w:line="240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0"/>
    <w:link w:val="23"/>
    <w:rPr>
      <w:rFonts w:ascii="Times New Roman" w:hAnsi="Times New Roman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Pr>
      <w:rFonts w:ascii="Times New Roman" w:hAnsi="Times New Roman"/>
      <w:b/>
      <w:sz w:val="32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10"/>
    <w:link w:val="af3"/>
    <w:rPr>
      <w:rFonts w:ascii="Times New Roman" w:hAnsi="Times New Roman"/>
      <w:sz w:val="24"/>
    </w:rPr>
  </w:style>
  <w:style w:type="character" w:customStyle="1" w:styleId="20">
    <w:name w:val="Заголовок 2 Знак"/>
    <w:basedOn w:val="10"/>
    <w:link w:val="2"/>
    <w:rPr>
      <w:rFonts w:ascii="Times New Roman" w:hAnsi="Times New Roman"/>
      <w:sz w:val="28"/>
    </w:rPr>
  </w:style>
  <w:style w:type="table" w:styleId="af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Табагари Диана Алмеровна</dc:creator>
  <cp:lastModifiedBy>Табагари Диана Алмеровна</cp:lastModifiedBy>
  <cp:revision>4</cp:revision>
  <dcterms:created xsi:type="dcterms:W3CDTF">2025-03-26T08:07:00Z</dcterms:created>
  <dcterms:modified xsi:type="dcterms:W3CDTF">2025-03-26T08:09:00Z</dcterms:modified>
</cp:coreProperties>
</file>