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02D" w:rsidRPr="00CE702D" w:rsidRDefault="00CE702D">
      <w:pPr>
        <w:spacing w:after="1" w:line="220" w:lineRule="atLeast"/>
        <w:jc w:val="both"/>
        <w:outlineLvl w:val="0"/>
        <w:rPr>
          <w:color w:val="000000" w:themeColor="text1"/>
        </w:rPr>
      </w:pPr>
      <w:bookmarkStart w:id="0" w:name="_GoBack"/>
      <w:bookmarkEnd w:id="0"/>
    </w:p>
    <w:p w:rsidR="00CE702D" w:rsidRPr="00CE702D" w:rsidRDefault="00CE702D">
      <w:pPr>
        <w:spacing w:after="1" w:line="220" w:lineRule="atLeast"/>
        <w:outlineLvl w:val="0"/>
        <w:rPr>
          <w:color w:val="000000" w:themeColor="text1"/>
        </w:rPr>
      </w:pPr>
      <w:r w:rsidRPr="00CE702D">
        <w:rPr>
          <w:rFonts w:ascii="Calibri" w:hAnsi="Calibri" w:cs="Calibri"/>
          <w:color w:val="000000" w:themeColor="text1"/>
        </w:rPr>
        <w:t>Зарегистрировано в Минюсте России 14 марта 2014 г. N 31607</w:t>
      </w:r>
    </w:p>
    <w:p w:rsidR="00CE702D" w:rsidRPr="00CE702D" w:rsidRDefault="00CE702D">
      <w:pPr>
        <w:pBdr>
          <w:top w:val="single" w:sz="6" w:space="0" w:color="auto"/>
        </w:pBdr>
        <w:spacing w:before="100" w:after="100"/>
        <w:jc w:val="both"/>
        <w:rPr>
          <w:color w:val="000000" w:themeColor="text1"/>
          <w:sz w:val="2"/>
          <w:szCs w:val="2"/>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МИНИСТЕРСТВО ЮСТИЦИИ РОССИЙСКОЙ ФЕДЕРАЦИИ</w:t>
      </w:r>
    </w:p>
    <w:p w:rsidR="00CE702D" w:rsidRPr="00CE702D" w:rsidRDefault="00CE702D">
      <w:pPr>
        <w:spacing w:after="1" w:line="220" w:lineRule="atLeast"/>
        <w:jc w:val="center"/>
        <w:rPr>
          <w:color w:val="000000" w:themeColor="text1"/>
        </w:rPr>
      </w:pP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ПРИКАЗ</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от 3 марта 2014 г. N 26</w:t>
      </w:r>
    </w:p>
    <w:p w:rsidR="00CE702D" w:rsidRPr="00CE702D" w:rsidRDefault="00CE702D">
      <w:pPr>
        <w:spacing w:after="1" w:line="220" w:lineRule="atLeast"/>
        <w:jc w:val="center"/>
        <w:rPr>
          <w:color w:val="000000" w:themeColor="text1"/>
        </w:rPr>
      </w:pP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ОБ УТВЕРЖДЕНИИ ПОЛОЖЕНИЯ</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ОБ УПРАВЛЕНИИ МИНИСТЕРСТВА ЮСТИЦИИ РОССИЙСКОЙ ФЕДЕРАЦИИ</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ПО СУБЪЕКТУ (СУБЪЕКТАМ) РОССИЙСКОЙ ФЕДЕРАЦИИ И ПЕРЕЧНЯ</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УПРАВЛЕНИЙ МИНИСТЕРСТВА ЮСТИЦИИ РОССИЙСКОЙ ФЕДЕРАЦИИ</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ПО СУБЪЕКТАМ РОССИЙСКОЙ ФЕДЕРАЦИИ</w:t>
      </w:r>
    </w:p>
    <w:p w:rsidR="00CE702D" w:rsidRPr="00CE702D" w:rsidRDefault="00CE702D">
      <w:pPr>
        <w:spacing w:after="1" w:line="220" w:lineRule="atLeast"/>
        <w:jc w:val="center"/>
        <w:rPr>
          <w:color w:val="000000" w:themeColor="text1"/>
        </w:rPr>
      </w:pPr>
    </w:p>
    <w:p w:rsidR="00CE702D" w:rsidRPr="00CE702D" w:rsidRDefault="00CE702D">
      <w:pPr>
        <w:spacing w:after="1" w:line="220" w:lineRule="atLeast"/>
        <w:ind w:firstLine="540"/>
        <w:jc w:val="both"/>
        <w:rPr>
          <w:color w:val="000000" w:themeColor="text1"/>
        </w:rPr>
      </w:pPr>
      <w:r w:rsidRPr="00CE702D">
        <w:rPr>
          <w:rFonts w:ascii="Calibri" w:hAnsi="Calibri" w:cs="Calibri"/>
          <w:color w:val="000000" w:themeColor="text1"/>
        </w:rPr>
        <w:t xml:space="preserve">В целях обеспечения реализации Минюстом России задач и функций, установленных Указом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4108; 2005, N 44, ст. 4535, N 52 (ч. III), ст. 5690; </w:t>
      </w:r>
      <w:proofErr w:type="gramStart"/>
      <w:r w:rsidRPr="00CE702D">
        <w:rPr>
          <w:rFonts w:ascii="Calibri" w:hAnsi="Calibri" w:cs="Calibri"/>
          <w:color w:val="000000" w:themeColor="text1"/>
        </w:rPr>
        <w:t>2006, N 12, ст. 1284, N 19, ст. 2070, N 23, ст. 2452, N 38, ст. 3975; 2007, N 13, ст. 1530, N 20, ст. 2390; 2008, N 10 (ч. II), ст. 909, N 29 (ч. I), ст. 3473, N 43, ст. 4921; 2010, N 4, ст. 368, N 19, ст. 2300;</w:t>
      </w:r>
      <w:proofErr w:type="gramEnd"/>
      <w:r w:rsidRPr="00CE702D">
        <w:rPr>
          <w:rFonts w:ascii="Calibri" w:hAnsi="Calibri" w:cs="Calibri"/>
          <w:color w:val="000000" w:themeColor="text1"/>
        </w:rPr>
        <w:t xml:space="preserve"> </w:t>
      </w:r>
      <w:proofErr w:type="gramStart"/>
      <w:r w:rsidRPr="00CE702D">
        <w:rPr>
          <w:rFonts w:ascii="Calibri" w:hAnsi="Calibri" w:cs="Calibri"/>
          <w:color w:val="000000" w:themeColor="text1"/>
        </w:rPr>
        <w:t>2011, N 21, ст. 2927, ст. 2930, N 29, ст. 4420; 2012, N 8, ст. 990, N 18, ст. 2166, N 22, ст. 2759, N 38, ст. 5070, N 47, ст. 6459, N 53 (ч. II), ст. 7866; 2013, N 26, ст. 3314), и дальнейшего совершенствования организации деятельности территориальных органов Минюста России приказываю:</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 Утвердить:</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Положение об Управлении Министерства юстиции Российской Федерации по субъекту (субъектам) Российской Федерации (приложение N 1);</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Перечень управлений Министерства юстиции Российской Федерации по субъектам Российской Федерации (приложение N 2).</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 Структурным подразделениям Министерства юстиции Российской Федерации в пределах компетенции оказывать управлениям Министерства юстиции Российской Федерации по субъектам Российской Федерации организационную и методическую помощь в реализации ими полномочий, предусмотренных Положением об Управлении Министерства юстиции Российской Федерации по субъекту (субъектам)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 Начальникам управлений Минюста России по субъекту (субъектам) Российской Федерации в 10-дневный срок привести в соответствие с настоящим приказом положения о структурных подразделениях и должностные регламенты федеральных государственных гражданских служащих управлений Минюста России по субъекту (субъектам)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4. </w:t>
      </w:r>
      <w:proofErr w:type="gramStart"/>
      <w:r w:rsidRPr="00CE702D">
        <w:rPr>
          <w:rFonts w:ascii="Calibri" w:hAnsi="Calibri" w:cs="Calibri"/>
          <w:color w:val="000000" w:themeColor="text1"/>
        </w:rPr>
        <w:t>Признать утратившим силу приказ Минюста России от 21.05.2009 N 147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Минюстом России 22.05.2009, регистрационный N 13984).</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5.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исполнением настоящего приказа возложить на заместителя Министра А.Д. </w:t>
      </w:r>
      <w:proofErr w:type="spellStart"/>
      <w:r w:rsidRPr="00CE702D">
        <w:rPr>
          <w:rFonts w:ascii="Calibri" w:hAnsi="Calibri" w:cs="Calibri"/>
          <w:color w:val="000000" w:themeColor="text1"/>
        </w:rPr>
        <w:t>Алханова</w:t>
      </w:r>
      <w:proofErr w:type="spellEnd"/>
      <w:r w:rsidRPr="00CE702D">
        <w:rPr>
          <w:rFonts w:ascii="Calibri" w:hAnsi="Calibri" w:cs="Calibri"/>
          <w:color w:val="000000" w:themeColor="text1"/>
        </w:rPr>
        <w:t>.</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lastRenderedPageBreak/>
        <w:t>Министр</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А.В.</w:t>
      </w:r>
      <w:proofErr w:type="gramStart"/>
      <w:r w:rsidRPr="00CE702D">
        <w:rPr>
          <w:rFonts w:ascii="Calibri" w:hAnsi="Calibri" w:cs="Calibri"/>
          <w:color w:val="000000" w:themeColor="text1"/>
        </w:rPr>
        <w:t>КОНОВАЛОВ</w:t>
      </w:r>
      <w:proofErr w:type="gramEnd"/>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right"/>
        <w:outlineLvl w:val="0"/>
        <w:rPr>
          <w:color w:val="000000" w:themeColor="text1"/>
        </w:rPr>
      </w:pPr>
      <w:r w:rsidRPr="00CE702D">
        <w:rPr>
          <w:rFonts w:ascii="Calibri" w:hAnsi="Calibri" w:cs="Calibri"/>
          <w:color w:val="000000" w:themeColor="text1"/>
        </w:rPr>
        <w:t>Приложение N 1</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к приказу Министерства юстиции</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Российской Федерации</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от 03.03.2014 N 26</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center"/>
        <w:rPr>
          <w:color w:val="000000" w:themeColor="text1"/>
        </w:rPr>
      </w:pPr>
      <w:bookmarkStart w:id="1" w:name="P37"/>
      <w:bookmarkEnd w:id="1"/>
      <w:r w:rsidRPr="00CE702D">
        <w:rPr>
          <w:rFonts w:ascii="Calibri" w:hAnsi="Calibri" w:cs="Calibri"/>
          <w:b/>
          <w:color w:val="000000" w:themeColor="text1"/>
        </w:rPr>
        <w:t>ПОЛОЖЕНИЕ</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ОБ УПРАВЛЕНИИ МИНЮСТА РОССИИ ПО СУБЪЕКТУ (СУБЪЕКТАМ)</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РОССИЙСКОЙ ФЕДЕРАЦИИ</w:t>
      </w:r>
    </w:p>
    <w:p w:rsidR="00CE702D" w:rsidRPr="00CE702D" w:rsidRDefault="00CE702D">
      <w:pPr>
        <w:spacing w:after="1" w:line="220" w:lineRule="atLeast"/>
        <w:jc w:val="center"/>
        <w:rPr>
          <w:color w:val="000000" w:themeColor="text1"/>
        </w:rPr>
      </w:pPr>
    </w:p>
    <w:p w:rsidR="00CE702D" w:rsidRPr="00CE702D" w:rsidRDefault="00CE702D">
      <w:pPr>
        <w:spacing w:after="1" w:line="220" w:lineRule="atLeast"/>
        <w:jc w:val="center"/>
        <w:outlineLvl w:val="1"/>
        <w:rPr>
          <w:color w:val="000000" w:themeColor="text1"/>
        </w:rPr>
      </w:pPr>
      <w:r w:rsidRPr="00CE702D">
        <w:rPr>
          <w:rFonts w:ascii="Calibri" w:hAnsi="Calibri" w:cs="Calibri"/>
          <w:b/>
          <w:color w:val="000000" w:themeColor="text1"/>
        </w:rPr>
        <w:t>I. Общие положения</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r w:rsidRPr="00CE702D">
        <w:rPr>
          <w:rFonts w:ascii="Calibri" w:hAnsi="Calibri" w:cs="Calibri"/>
          <w:color w:val="000000" w:themeColor="text1"/>
        </w:rPr>
        <w:t>1. Управление Минюста России по субъекту (субъектам) Российской Федерации (далее - Управление) является территориальным органом Минюста России, действующим на территории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 Управление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Минюста России, а также настоящим Положением.</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 Основными задачами Управления являются:</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1) обеспечение в пределах своих полномочий реализации Минюстом России государственной политики в установленной сфере деятельности;</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 координация деятельности территориальных органов подведомственных Минюсту России федеральных служб и федеральных бюджетных учреждений Минюста России в рамках координационных советов при управлениях Минюста России (далее - подведомственные федеральные службы и учреждения соответственно);</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 обеспечение единства правового пространства Российской Федерации на территории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 обеспечение в пределах своих полномочий защиты прав и свобод человека и гражданина;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 осуществление деятельности в сфере государственной регистрации некоммерческих организаций, в том числе общественных объединений, политических партий, религиозных организаций;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6) осуществление контроля и надзора в сфере адвокатуры и нотариата, а также в сфере государственной регистрации актов гражданского состояния.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4. В Управлении для выполнения возложенных на него задач создаются структурные подразделения. Структура и штатное расписание Управления утверждаются приказом Минюста </w:t>
      </w:r>
      <w:proofErr w:type="gramStart"/>
      <w:r w:rsidRPr="00CE702D">
        <w:rPr>
          <w:rFonts w:ascii="Calibri" w:hAnsi="Calibri" w:cs="Calibri"/>
          <w:color w:val="000000" w:themeColor="text1"/>
        </w:rPr>
        <w:t>России</w:t>
      </w:r>
      <w:proofErr w:type="gramEnd"/>
      <w:r w:rsidRPr="00CE702D">
        <w:rPr>
          <w:rFonts w:ascii="Calibri" w:hAnsi="Calibri" w:cs="Calibri"/>
          <w:color w:val="000000" w:themeColor="text1"/>
        </w:rPr>
        <w:t xml:space="preserve"> в пределах установленных фонда оплаты труда и численности федеральных государственных гражданских служащих (далее - гражданские служащие).</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lastRenderedPageBreak/>
        <w:t>Штатное расписание Управления в отношении работников, оплата труда которых осуществляется в соответствии с постановлением Правительства Российской Федерации от 05.08.2008 N 583 "О введении новых 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w:t>
      </w:r>
      <w:proofErr w:type="gramEnd"/>
      <w:r w:rsidRPr="00CE702D">
        <w:rPr>
          <w:rFonts w:ascii="Calibri" w:hAnsi="Calibri" w:cs="Calibri"/>
          <w:color w:val="000000" w:themeColor="text1"/>
        </w:rPr>
        <w:t xml:space="preserve">, оплата </w:t>
      </w:r>
      <w:proofErr w:type="gramStart"/>
      <w:r w:rsidRPr="00CE702D">
        <w:rPr>
          <w:rFonts w:ascii="Calibri" w:hAnsi="Calibri" w:cs="Calibri"/>
          <w:color w:val="000000" w:themeColor="text1"/>
        </w:rPr>
        <w:t>труда</w:t>
      </w:r>
      <w:proofErr w:type="gramEnd"/>
      <w:r w:rsidRPr="00CE702D">
        <w:rPr>
          <w:rFonts w:ascii="Calibri" w:hAnsi="Calibri" w:cs="Calibri"/>
          <w:color w:val="000000" w:themeColor="text1"/>
        </w:rPr>
        <w:t xml:space="preserve"> которых в настоящее время осуществляется на основе Единой тарифной сетки по оплате труда работников федеральных государственных учреждений" (Собрание законодательства Российской Федерации, 2008, N 40, ст. 4544; 2010, N 52, ст. 7104; 2012, N 21, ст. 2652, N 40, ст. 5456; 2013, N 5, ст. 396) (далее - работники), утверждается приказом Управления по согласованию с Департаментом государственной службы и кадров и Департаментом управления делами Минюста </w:t>
      </w:r>
      <w:proofErr w:type="gramStart"/>
      <w:r w:rsidRPr="00CE702D">
        <w:rPr>
          <w:rFonts w:ascii="Calibri" w:hAnsi="Calibri" w:cs="Calibri"/>
          <w:color w:val="000000" w:themeColor="text1"/>
        </w:rPr>
        <w:t>России</w:t>
      </w:r>
      <w:proofErr w:type="gramEnd"/>
      <w:r w:rsidRPr="00CE702D">
        <w:rPr>
          <w:rFonts w:ascii="Calibri" w:hAnsi="Calibri" w:cs="Calibri"/>
          <w:color w:val="000000" w:themeColor="text1"/>
        </w:rPr>
        <w:t xml:space="preserve"> в пределах установленных фонда оплаты труда и численности работников.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Внесение изменений в утвержденные штатные расписания Управления осуществляется в порядке, установленном для их утверждения.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 Управление осуществляет свою деятельность во взаимодействии с органами прокуратуры, судебными органами, территориальными органами федеральных органов исполнительной власти, органами государственной власти субъекта (субъектов) Российской Федерации, органами местного самоуправления, общественными объединениями и организациями.</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center"/>
        <w:outlineLvl w:val="1"/>
        <w:rPr>
          <w:color w:val="000000" w:themeColor="text1"/>
        </w:rPr>
      </w:pPr>
      <w:r w:rsidRPr="00CE702D">
        <w:rPr>
          <w:rFonts w:ascii="Calibri" w:hAnsi="Calibri" w:cs="Calibri"/>
          <w:b/>
          <w:color w:val="000000" w:themeColor="text1"/>
        </w:rPr>
        <w:t>II. Полномочия</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r w:rsidRPr="00CE702D">
        <w:rPr>
          <w:rFonts w:ascii="Calibri" w:hAnsi="Calibri" w:cs="Calibri"/>
          <w:color w:val="000000" w:themeColor="text1"/>
        </w:rPr>
        <w:t>6. Управление осуществляет следующие полномочия: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 обеспечивает в пределах своей компетенции исполнение на территории субъекта (субъектов) Российской Федерации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а также международных договоров Российской Федерации по вопросам, относящимся к сфере деятельности Минюста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 обеспечивает в установленном порядке реализацию Минюстом России функции по координации выполнения подведомственными федеральными службами и учреждениями актов законодательства Российской Федерации, нормативных правовых актов Минюста России, поручений Министра юстиции Российской Федерации;</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3) в установленном порядке разрабатывает и представляет в Минюст России предложения по внесению изменений в федеральные конституционные законы, федеральные законы, акты Президента Российской Федерации и Правительства Российской Федерации, другие документы по вопросам, относящимся к компетенции Минюста России и подведомственных федеральных служб, а также о подготовке проектов таких законов, актов и документов;</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 в установленном порядке представляет в Минюст России предложения по внесению изменений в нормативные правовые акты Минюста России, а также о принятии таких нормативных правовых актов;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 обеспечивает бюджетные полномочия получателя бюджетных средств;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6) осуществляет бюджетные полномочия администратора доходов бюджета;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 ведет документы первичного бухгалтерского учета, составляет статистическую отчетность по основным направлениям деятельности и представляет ее в установленном порядке в Минюст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8) обеспечивает в пределах компетенции выполнение обязательств Минюста России, закрепленных в соглашении о взаимодействии между Минюстом России и органом государственной власти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 участвует в пределах компетенции в нормотворческой деятельности органов государственной власти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10) подготавливает обзоры нормотворчества субъекта (субъектов) Российской Федерации в соответствующей сфере правоотношений;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11) информирует в установленном порядке Минюст России обо всех направлениях деятельности в пределах своей компетенции, включая законодательные инициативы органов государственной власти субъекта (субъектов) Российской Федерации, направляет в Главное управление Минюста России по субъекту (субъектам) Российской Федерации (далее - Главное управление) запрашиваемые материалы и информацию;</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12) проводит правовую экспертизу нормативных правовых актов субъекта (субъектов) Российской Федерации на предмет их соответствия Конституции Российской Федерации и федеральным законам;</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13) ведет федеральный регистр нормативных правовых актов субъекта (субъектов) Российской Федерации, обеспечивает в установленном порядке представление сведений, содержащихся в федеральном регистре;</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14) направляет в орган государственной власти субъекта Российской Федерации, принявший нормативный правовой акт, письмо по вопросу представления акта для включения в федеральный регистр нормативных правовых актов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15) направляет в орган государственной власти субъекта Российской Федерации, принявший нормативный правовой акт, в случае </w:t>
      </w:r>
      <w:proofErr w:type="gramStart"/>
      <w:r w:rsidRPr="00CE702D">
        <w:rPr>
          <w:rFonts w:ascii="Calibri" w:hAnsi="Calibri" w:cs="Calibri"/>
          <w:color w:val="000000" w:themeColor="text1"/>
        </w:rPr>
        <w:t>выявления несоответствия данного акта Конституции Российской Федерации</w:t>
      </w:r>
      <w:proofErr w:type="gramEnd"/>
      <w:r w:rsidRPr="00CE702D">
        <w:rPr>
          <w:rFonts w:ascii="Calibri" w:hAnsi="Calibri" w:cs="Calibri"/>
          <w:color w:val="000000" w:themeColor="text1"/>
        </w:rPr>
        <w:t xml:space="preserve"> и (или) федеральному законодательству, мотивированное экспертное заключение, содержащее предложение об отмене данного акта или приведении его в соответствие с Конституцией Российской Федерации и (или) федеральным законодательством;</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16) проводит повторные экспертизы нормативных правовых актов субъекта (субъектов) Российской Федерации по поручению Минюста России, Главного управления, запросам аппарата полномочного представителя Президента Российской Федерации в федеральном округе, органов государственной власти субъекта (субъектов) Российской Федерации или по собственной инициативе;</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17) проводит в установленном порядке антикоррупционную экспертизу нормативных правовых актов субъектов Российской Федерации при мониторинге их применения и при внесении сведений в федеральный регистр нормативных правовых актов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18) передает в органы прокуратуры для принятия мер прокурорского реагирования копию экспертного заключения о несоответствии нормативного правового </w:t>
      </w:r>
      <w:proofErr w:type="gramStart"/>
      <w:r w:rsidRPr="00CE702D">
        <w:rPr>
          <w:rFonts w:ascii="Calibri" w:hAnsi="Calibri" w:cs="Calibri"/>
          <w:color w:val="000000" w:themeColor="text1"/>
        </w:rPr>
        <w:t>акта субъекта Российской Федерации Конституции Российской Федерации</w:t>
      </w:r>
      <w:proofErr w:type="gramEnd"/>
      <w:r w:rsidRPr="00CE702D">
        <w:rPr>
          <w:rFonts w:ascii="Calibri" w:hAnsi="Calibri" w:cs="Calibri"/>
          <w:color w:val="000000" w:themeColor="text1"/>
        </w:rPr>
        <w:t xml:space="preserve"> и (или) федеральному законодательству;</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19) проводит в установленном порядке мониторинг применения нормативных правовых актов субъектов Российской Федерации в соответствии с законодательством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20) осуществляет в установленном порядке государственную регистрацию уставов муниципальных образований, расположенных на территории субъекта (субъектов) Российской Федерации, и муниципальных правовых актов о внесении изменений в эти уставы;</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21) ведет государственный реестр уставов муниципальных образований Российской Федерации, обеспечивает в установленном порядке представление сведений из указанного реестра;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22) направляет запрос в орган местного самоуправления о представлении уставов муниципальных образований, муниципальных правовых актов о внесении изменений в эти уставы на государственную регистрацию;</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23) проводит в установленном порядке антикоррупционную экспертизу уставов муниципальных образований и муниципальных правовых актов о внесении изменений в уставы муниципальных образований при их государственной регистрации;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24) направляет главе муниципального образования зарегистрированные устав муниципального образования, муниципальный правовой акт о внесении изменений в устав муниципального образования, выдает заверенные копии указанных документов;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25) готовит обзор практики ведения федерального регистра муниципальных нормативных правовых актов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26) оказывает органам государственной власти субъекта (субъектов) Российской Федерации и местного самоуправления методическую помощь по вопросам совершенствования законодательства субъекта (субъектов) Российской Федерации, обеспечения соответствия уставов муниципальных образований Российской Федерации законодательству Российской Федерации и субъекта Российской Федерации, а также организации учета их нормативных правовых актов;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27) ведет государственный реестр муниципальных образований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28) направляет в органы прокуратуры информацию о случаях непредставления главой муниципального образования либо лицом, исполняющим его обязанности, уставов муниципальных образований и муниципальных правовых актов о внесении изменений в уставы муниципальных образований на государственную регистрацию;</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29) осуществляет в установленном порядке реализацию прав и исполнение обязательств, вытекающих из международных договоров Российской Федерации о правовой помощи и правовых отношениях по гражданским, семейным, уголовным и иным делам, в том числе в части истребования и пересылки копий наследственных дел и документов к ним, а также документов о регистрации актов гражданского состояния;</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30) получает в установленном порядке запросы о правовой помощи по гражданским, семейным, уголовным и иным делам и исполняет их либо направляет для исполнения в другие органы государственной власти, а также направляет в установленном порядке запросы о правовой помощи, рассматривает другие обращения в соответствии с международными договорами и законодательством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31) проставляет в установленном порядке </w:t>
      </w:r>
      <w:proofErr w:type="spellStart"/>
      <w:r w:rsidRPr="00CE702D">
        <w:rPr>
          <w:rFonts w:ascii="Calibri" w:hAnsi="Calibri" w:cs="Calibri"/>
          <w:color w:val="000000" w:themeColor="text1"/>
        </w:rPr>
        <w:t>апостиль</w:t>
      </w:r>
      <w:proofErr w:type="spellEnd"/>
      <w:r w:rsidRPr="00CE702D">
        <w:rPr>
          <w:rFonts w:ascii="Calibri" w:hAnsi="Calibri" w:cs="Calibri"/>
          <w:color w:val="000000" w:themeColor="text1"/>
        </w:rPr>
        <w:t xml:space="preserve"> на официальных документах, подлежащих вывозу за границу;</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32) принимает участие в согласовании Минюстом России кандидатуры для назначения на должность руководителя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33) вносит в Минюст России предложения о подготовке представления о временном изъятии полномочий по государственной регистрации актов гражданского состояния, переданных органам государственной власти субъекта Российской Федерации, в случае ненадлежащего их осуществления;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34) осуществляет полномочия по государственной регистрации актов гражданского состояния на территории субъекта (субъектов) Российской Федерации в случае их временного изъятия Правительством Российской Федерации в порядке, установленном законодательством Российской Федерации &lt;*&gt;;</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w:t>
      </w:r>
    </w:p>
    <w:p w:rsidR="00CE702D" w:rsidRPr="00CE702D" w:rsidRDefault="00CE702D">
      <w:pPr>
        <w:spacing w:before="220" w:after="1" w:line="220" w:lineRule="atLeast"/>
        <w:ind w:firstLine="540"/>
        <w:jc w:val="both"/>
        <w:rPr>
          <w:color w:val="000000" w:themeColor="text1"/>
        </w:rPr>
      </w:pPr>
      <w:bookmarkStart w:id="2" w:name="P95"/>
      <w:bookmarkEnd w:id="2"/>
      <w:r w:rsidRPr="00CE702D">
        <w:rPr>
          <w:rFonts w:ascii="Calibri" w:hAnsi="Calibri" w:cs="Calibri"/>
          <w:color w:val="000000" w:themeColor="text1"/>
        </w:rPr>
        <w:t>&lt;*&gt; С учетом положений ст. 4 Федерального закона от 15.11.1997 N 143-ФЗ "Об актах гражданского состояния" (Собрание законодательства Российской Федерации, 1997, N 47, ст. 5340; 2003, N 28, ст. 2889; 2006, N 1, ст. 10; 2009, N 52 (I ч.), ст. 6441; 2013, N 19, ст. 2331).</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r w:rsidRPr="00CE702D">
        <w:rPr>
          <w:rFonts w:ascii="Calibri" w:hAnsi="Calibri" w:cs="Calibri"/>
          <w:color w:val="000000" w:themeColor="text1"/>
        </w:rPr>
        <w:t>35) контролирует осуществление полномочий Российской Федерации по государственной регистрации актов гражданского состояния;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36) 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37) принимает решение о возврате (зачете) излишне уплаченных (взысканных) средств от платежей в федеральный бюджет, администрирование которых возложено на Минюст России, в том числе за государственную регистрацию актов гражданского состояния, во взаимодействии с органами, осуществляющими государственную регистрацию актов гражданского состояния, в порядке, установленном законодательством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38) ведет реестр адвокатов субъекта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39) выдает адвокатам субъекта Российской Федерации соответствующие удостоверения, а также документы, подтверждающие статус адвоката (в случае изменения ими членства в адвокатской палате);</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40) принимает участие в работе квалификационной комиссии при адвокатской палате субъекта Российской Федерации, в том числе по приему квалификационных экзаменов у лиц, претендующих на статус адвоката;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41) вносит представление о прекращении статуса адвоката и представление о возбуждении дисциплинарного производства в адвокатскую палату субъекта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42) обращается в суд с заявлением о прекращении статуса адвоката в случае, если совет адвокатской палаты субъекта Российской Федерации в трехмесячный срок со дня поступления представления не рассмотрел его;</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43) требует проведения внеочередного собрания (конференции) адвокатов и (или) вносит представление в Совет Федеральной палаты адвокатов Российской Федерации в случае неисполнения советом адвокатской палаты субъекта Российской Федерации требований федерального закона, решений Всероссийского съезда адвокатов или Совета Федеральной палаты адвокатов Российской Федерации о досрочном прекращении полномочий совета, приостановлении полномочий президента адвокатской палаты субъекта Российской Федерации;</w:t>
      </w:r>
      <w:proofErr w:type="gramEnd"/>
      <w:r w:rsidRPr="00CE702D">
        <w:rPr>
          <w:rFonts w:ascii="Calibri" w:hAnsi="Calibri" w:cs="Calibri"/>
          <w:color w:val="000000" w:themeColor="text1"/>
        </w:rPr>
        <w:t xml:space="preserve"> осуществляет в пределах своей компетенции на территории субъекта (субъектов) Российской Федерации иные функции по контролю и надзору за соблюдением законодательства Российской Федерации адвокатами, адвокатскими образованиями и адвокатскими палатами;</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 xml:space="preserve">44) направляет сведения, подтверждающие присвоение лицу статуса адвоката, с указанием реквизитов документа, удостоверяющего личность данного лица, и места его жительства в </w:t>
      </w:r>
      <w:r w:rsidRPr="00CE702D">
        <w:rPr>
          <w:rFonts w:ascii="Calibri" w:hAnsi="Calibri" w:cs="Calibri"/>
          <w:color w:val="000000" w:themeColor="text1"/>
        </w:rPr>
        <w:lastRenderedPageBreak/>
        <w:t>территориальный орган Пенсионного фонда Российской Федерации по месту жительства лица в установленный законодательством Российской Федерации срок;</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45) в установленном порядке открывает и упраздняет государственные нотариальные конторы в субъекте (субъектах)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46) осуществляет в установленном порядке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исполнением нотариусами, работающими в государственных нотариальных конторах, профессиональных обязанностей;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47) ведет учет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48) ведет реестр нотариусов и лиц, сдавших квалификационный экзамен, а также осуществляет выдачу выписок из указанного реестра;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49) объявляет конкурс и совместно с нотариальной палатой субъекта Российской Федерации образует конкурсную комиссию на замещение вакантной должности нотариуса;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50) образует квалификационную комиссию по приему экзамена у лиц, желающих заниматься нотариальной деятельностью;</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51) совместно с нотариальной палатой субъекта Российской Федерации организует прохождение стажировки лицами, претендующими на должность нотариуса;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52) осуществляет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совершением нотариальных действий должностными лицами местного самоуправления;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53) совместно с нотариальной палатой субъекта Российской Федерации наделяет полномочиями лицо, замещающее временно отсутствующего нотариуса, занимающегося частной практикой;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54) совместно с нотариальной палатой субъекта Российской Федерации принимает решение о передаче документов, хранящихся у нотариуса, полномочия которого прекращаются, другому нотариусу;</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55) в установленном порядке принимает решение об изменении территории деятельности нотариуса по согласованию с нотариальной палатой субъекта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56) в установленном порядке представляет в орган государственной власти субъекта Российской Федерации предложения о количестве должностей нотариусов в нотариальном округе;</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57) учреждает и ликвидирует должности нотариусов в субъекте Российской Федерации по согласованию с нотариальной палатой субъекта Российской Федерации;</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58) направляет сведения, подтверждающие назначение лица на должность нотариуса, занимающегося частной практикой, с указанием реквизитов документа, удостоверяющего личность данного лица, места его жительства, а также сведения об идентификационном номере налогоплательщика в территориальный орган Пенсионного фонда Российской Федерации по месту жительства лица в установленный законодательством Российской Федерации срок;</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59) принимает меры по обеспечению функционирования и развития государственной системы бесплатной юридической помощи на территории субъекта (субъектов) Российской Федерации, координирует деятельность участников этой системы и их взаимодействие;</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60) проводит мониторинг деятельности территориальных органов федеральных органов исполнительной власти, органов исполнительной власти субъектов Российской Федерации, территориальных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и негосударственных центров бесплатной юридической помощи, действующих на территории субъекта (субъектов) Российской Федерации, по оказанию гражданам бесплатной юридической помощи и правовому просвещению населения;</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61) обеспечивает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соблюдением лицами, оказывающими бесплатную юридическую помощь на территории субъекта (субъектов) Российской Федерации, норм профессиональной этики и установленных требований к качеству юридической помощи;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62) ведет список негосударственных центров бесплатной юридической помощи, созданных на территории субъекта (субъектов) Российской Федерации, и размещает его на своем официальном сайте в информационно-телекоммуникационной сети Интернет;</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63) принимает решение о государственной регистрации региональных отделений, иных структурных подразделений политических партий, межрегиональных, региональных и местных общественных объединений и их структурных подразделений,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учреждений и организаций, образованных указанными централизованными религиозными организациями, а также иных некоммерческих организаций (за исключением отделений международных организаций, иностранных некоммерческих</w:t>
      </w:r>
      <w:proofErr w:type="gramEnd"/>
      <w:r w:rsidRPr="00CE702D">
        <w:rPr>
          <w:rFonts w:ascii="Calibri" w:hAnsi="Calibri" w:cs="Calibri"/>
          <w:color w:val="000000" w:themeColor="text1"/>
        </w:rPr>
        <w:t xml:space="preserve"> неправительственных организаций);</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64) выдает зарегистрированной некоммерческой организации свидетельство о внесении записи в единый государственный реестр юридических лиц, полученное от федерального органа исполнительной власти, уполномоченного осуществлять государственную регистрацию юридических лиц, а также свидетельство о государственной регистрации, подтверждающие факт государственной регистрации региональных отделений и иных структурных подразделений политических партий, межрегиональных, региональных и местных общественных объединений и их структурных подразделений, религиозных организаций, а также иных</w:t>
      </w:r>
      <w:proofErr w:type="gramEnd"/>
      <w:r w:rsidRPr="00CE702D">
        <w:rPr>
          <w:rFonts w:ascii="Calibri" w:hAnsi="Calibri" w:cs="Calibri"/>
          <w:color w:val="000000" w:themeColor="text1"/>
        </w:rPr>
        <w:t xml:space="preserve"> некоммерческих организаций (за исключением отделений международных организаций, иностранных некоммерческих неправительственных организаций);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65) осуществляет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соблюдением региональными отделениями и иными структурными подразделениями политических партий законодательства Российской Федерации и соответствием их деятельности положениям, целям и задачам, предусмотренным уставами политических партий; за соответствием деятельности общественных объединений и их структурных подразделений, осуществляющих деятельность на территории одного субъекта Российской Федерации, их уставным целям; за соответствием деятельности иных некоммерческих организаций (за исключением отделений международных организаций и иностранных некоммерческих неправительственных организаций) целям, предусмотренным их учредительными документами, и законодательству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66) осуществляет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соблюдением религиозными организациями своих уставов относительно целей и порядка их деятельности;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67) организует при государственной регистрации местных религиозных организаций, а также централизованных религиозных организаций, имеющих местные религиозные организации на территории одного субъекта Российской Федерации, проведение государственной </w:t>
      </w:r>
      <w:r w:rsidRPr="00CE702D">
        <w:rPr>
          <w:rFonts w:ascii="Calibri" w:hAnsi="Calibri" w:cs="Calibri"/>
          <w:color w:val="000000" w:themeColor="text1"/>
        </w:rPr>
        <w:lastRenderedPageBreak/>
        <w:t>религиоведческой экспертизы, образует в этих целях экспертный совет и утверждает положение о нем;</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68) направляет представителей для участия в мероприятиях, проводимых политическими партиями, общественными объединениями, религиозными организациями и иными некоммерческими организациями;</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69) ведет реестр зарегистрированных некоммерческих организаций, в том числе отделений и иных структурных подразделений политических партий, межрегиональных, региональных и местных общественных объединений и их структурных подразделений,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учреждений и организаций, образованных указанными централизованными религиозными организациями, а также иных некоммерческих организаций (за исключением отделений международных</w:t>
      </w:r>
      <w:proofErr w:type="gramEnd"/>
      <w:r w:rsidRPr="00CE702D">
        <w:rPr>
          <w:rFonts w:ascii="Calibri" w:hAnsi="Calibri" w:cs="Calibri"/>
          <w:color w:val="000000" w:themeColor="text1"/>
        </w:rPr>
        <w:t xml:space="preserve"> организаций, иностранных некоммерческих неправительственных организаций) в соответствующем субъекте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70) ведет государственный реестр казачьих обществ 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71) предоставляет в установленном порядке физическим и юридическим лицам по их письменным запросам информацию о зарегистрированных региональных отделениях и иных структурных подразделениях политических партий, межрегиональных, региональных и местных общественных объединениях и их структурных подразделениях, религиозных организациях и иных некоммерческих организациях, сведения о которых внесены Управлением в реестр зарегистрированных некоммерческих организаций;</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72)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законом от 25.07.2002 N 114-ФЗ "О противодействии экстремистской деятельности" (Собрание законодательства Российской Федерации, 2002, N 30, ст. 3031;</w:t>
      </w:r>
      <w:proofErr w:type="gramEnd"/>
      <w:r w:rsidRPr="00CE702D">
        <w:rPr>
          <w:rFonts w:ascii="Calibri" w:hAnsi="Calibri" w:cs="Calibri"/>
          <w:color w:val="000000" w:themeColor="text1"/>
        </w:rPr>
        <w:t xml:space="preserve">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73) по результатам </w:t>
      </w:r>
      <w:proofErr w:type="gramStart"/>
      <w:r w:rsidRPr="00CE702D">
        <w:rPr>
          <w:rFonts w:ascii="Calibri" w:hAnsi="Calibri" w:cs="Calibri"/>
          <w:color w:val="000000" w:themeColor="text1"/>
        </w:rPr>
        <w:t>контроля за</w:t>
      </w:r>
      <w:proofErr w:type="gramEnd"/>
      <w:r w:rsidRPr="00CE702D">
        <w:rPr>
          <w:rFonts w:ascii="Calibri" w:hAnsi="Calibri" w:cs="Calibri"/>
          <w:color w:val="000000" w:themeColor="text1"/>
        </w:rPr>
        <w:t xml:space="preserve"> деятельностью региональных отделений, иных структурных подразделений политических партий, общественных объединений и их структурных подразделений, религиозных организаций и иных некоммерческих организаций: выносит предупреждения и вносит представления об устранении нарушений законодательства Российской Федерации; принимает решения о приостановлении деятельности общественных объединений и их структурных подразделений; обращается в суд с заявлениями о приостановлении деятельности региональных отделений, иных структурных подразделений политических партий;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74) обращается в суд с заявлениями о ликвидации региональных отделений, иных структурных подразделений политических партий, общественных объединений и их структурных подразделений, религиозных организаций и иных некоммерческих организаций, о признании общественных объединений прекратившими свою деятельность в качестве юридического лица;</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75) организует работу по информированию населения о деятельности Минюста России, Управления в установленном Минюстом России порядке; во взаимодействии с органами государственной власти субъекта (субъектов) Российской Федерации участвует в правовом просвещении граждан, взаимодействует со средствами массовой информации по вопросам реализации Минюстом России государственной политики в установленной сфере деятельности, ведет собственный Интернет-сайт;</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76) осуществляет кадровую работу в соответствии с законодательством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76.1) утратил силу. - </w:t>
      </w:r>
      <w:proofErr w:type="gramStart"/>
      <w:r w:rsidRPr="00CE702D">
        <w:rPr>
          <w:rFonts w:ascii="Calibri" w:hAnsi="Calibri" w:cs="Calibri"/>
          <w:color w:val="000000" w:themeColor="text1"/>
        </w:rPr>
        <w:t>Приказ Минюста России от 29.03.2019 N 65;</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77) организует, осуществляет и обеспечивает в соответствии с законодательством Российской Федерации защиту сведений, составляющих государственную и иную охраняемую законом тайну;</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78) участвует в организации и выполнении мероприятий по мобилизационной подготовке, гражданской обороне и защите от чрезвычайных ситуаций природного и техногенного характера;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79) обеспечивает участие своих представителей в рассмотрении дел с участием Минюста России и (или) Управления в судах общей юрисдикции и арбитражных судах;</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80) осуществляет прием граждан, обеспечивает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Российской Федерации срок;</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81) осуществляет в соответствии с законодательством Российской Федерации работу по документационному обеспечению деятельности, а также комплектованию, хранению, учету и использованию архивных документов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82) участвует в проводимых Минюстом России проверках деятельности территориальных органов Минюста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83) по поручению Министра юстиции Российской Федерации (заместителей Министра юстиции Российской Федерации) принимает участие в проверках деятельности подведомственных федеральных служб и учреждений, проводимых органами прокуратуры;</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84) обеспечивает участие своих представителей в аудиторских проверках территориальных органов Минюста России, проводимых структурными подразделениями Департамента организации и контроля Минюста России или Главного управления, на которые возложено осуществление внутреннего финансового аудита;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85) осуществляет закупки для нужд Управления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нужд;</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86) составляет проекты планов и обоснование потребности Управления в государственных капитальных вложениях, топливно-энергетических, материально-технических ресурсах, автотранспорте, организует работу по эффективному использованию материально-технических ресурсов и сохранности имущества, улучшению условий труда, материального и социально-бытового обеспечения гражданских служащих и работников;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87) направляет в порядке, предусмотренном законодательством Российской Федерации, информационно-аналитические материалы, экономико-статистические данные и иную информацию, необходимую органам государственной власти субъекта (субъектов) Российской Федерации для реализации своих полномочий и принятия решений по вопросам, находящимся в сфере их ведения, с соблюдением требований по защите информации с ограниченным доступом;</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88) направляет в установленном порядке высшим должностным лицам субъекта (субъектов) Российской Федерации (руководителям высших исполнительных органов государственной власти субъекта (субъектов) Российской Федерации) предложения, касающиеся вопросов совместной деятельности Управления и органов исполнительной власти субъекта (субъектов) Российской Федерации, а также информацию об основных направлениях и результатах своей деятельности;</w:t>
      </w:r>
      <w:proofErr w:type="gramEnd"/>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lastRenderedPageBreak/>
        <w:t>89) в рамках координации по согласованию с руководителями территориальных органов федеральных органов исполнительной власти, органов исполнительной власти субъекта (субъектов) Российской Федерации, подведомственных федеральных служб и учреждений привлекает для выработки совместных решений и их реализации соответствующих специалистов, а также привлекает в установленном порядке для проработки вопросов, возникающих в деятельности Управления, научные и иные организации, ученых, специалистов и экспертов;</w:t>
      </w:r>
      <w:proofErr w:type="gramEnd"/>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90) заключает с территориальными органами федеральных органов исполнительной власти, органами государственной власти субъекта (субъектов) Российской Федерации, некоммерческими организациями и иными юридическими лицами, органами местного самоуправления соглашения о взаимодействии;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91) привлекает руководителей (представителей) органов государственной власти субъекта (субъектов) Российской Федерации, органов местного самоуправления, общественных объединений, средств массовой информации и иных организаций к работе совещаний, рабочих комиссий, групп по вопросам, находящимся в сфере их ведения;</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92) направляет уполномоченных представителей для участия в совещаниях, проводимых высшими должностными лицами субъекта (субъектов) Российской Федерации (руководителями высших исполнительных органов государственной власти субъекта (субъектов) Российской Федерации), а также в работе консультативно-совещательных и (или) координационных органов, создаваемых высшими должностными лицами субъекта (субъектов) Российской Федерации (руководителями высших исполнительных органов государственной власти субъекта (субъектов) Российской Федерации), коллегий органов исполнительной власти субъекта (субъектов) Российской</w:t>
      </w:r>
      <w:proofErr w:type="gramEnd"/>
      <w:r w:rsidRPr="00CE702D">
        <w:rPr>
          <w:rFonts w:ascii="Calibri" w:hAnsi="Calibri" w:cs="Calibri"/>
          <w:color w:val="000000" w:themeColor="text1"/>
        </w:rPr>
        <w:t xml:space="preserve"> Федерации, в заседаниях комиссий и рабочих групп, образованных этими органами;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93) представляет в согласованном порядке в Главное управление сведения о результатах своей деятельности;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94) вносит руководству Минюста России предложения, направленные на совершенствование работы деятельности территориальных органов подведомственных федеральных служб и учреждений, находящихся на территории субъекта (субъектов)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95) рассматривает запросы высших должностных лиц субъекта (субъектов) Российской Федерации (руководителей высших исполнительных органов государственной власти субъекта (субъектов) Российской Федерации) и информирует их о принятых решениях;</w:t>
      </w:r>
    </w:p>
    <w:p w:rsidR="00CE702D" w:rsidRPr="00CE702D" w:rsidRDefault="00CE702D">
      <w:pPr>
        <w:spacing w:before="220" w:after="1" w:line="220" w:lineRule="atLeast"/>
        <w:ind w:firstLine="540"/>
        <w:jc w:val="both"/>
        <w:rPr>
          <w:color w:val="000000" w:themeColor="text1"/>
        </w:rPr>
      </w:pPr>
      <w:proofErr w:type="gramStart"/>
      <w:r w:rsidRPr="00CE702D">
        <w:rPr>
          <w:rFonts w:ascii="Calibri" w:hAnsi="Calibri" w:cs="Calibri"/>
          <w:color w:val="000000" w:themeColor="text1"/>
        </w:rPr>
        <w:t>96) в рамках координации запрашивает в установленном законодательством Российской Федерации порядке от территориальных органов федеральных органов исполнительной власти (в том числе территориальных органов подведомственных федеральных служб и учреждений), органов государственной власти субъекта (субъектов) Российской Федерации, органов местного самоуправления, организаций, независимо от их организационно-правовой формы и формы собственности, должностных лиц, а также от политических партий, общественных объединений, религиозных и иных некоммерческих</w:t>
      </w:r>
      <w:proofErr w:type="gramEnd"/>
      <w:r w:rsidRPr="00CE702D">
        <w:rPr>
          <w:rFonts w:ascii="Calibri" w:hAnsi="Calibri" w:cs="Calibri"/>
          <w:color w:val="000000" w:themeColor="text1"/>
        </w:rPr>
        <w:t xml:space="preserve"> организаций информационные, справочные и иные сведения, необходимые для принятия решений по вопросам, относящимся к установленной сфере деятельности;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97) осуществляет иные полномочия, предусмотренные законодательством Российской Федерации и нормативными правовыми актами Минюста России.</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center"/>
        <w:outlineLvl w:val="1"/>
        <w:rPr>
          <w:color w:val="000000" w:themeColor="text1"/>
        </w:rPr>
      </w:pPr>
      <w:r w:rsidRPr="00CE702D">
        <w:rPr>
          <w:rFonts w:ascii="Calibri" w:hAnsi="Calibri" w:cs="Calibri"/>
          <w:b/>
          <w:color w:val="000000" w:themeColor="text1"/>
        </w:rPr>
        <w:t>III. Организация деятельности</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r w:rsidRPr="00CE702D">
        <w:rPr>
          <w:rFonts w:ascii="Calibri" w:hAnsi="Calibri" w:cs="Calibri"/>
          <w:color w:val="000000" w:themeColor="text1"/>
        </w:rPr>
        <w:t>7. Управление возглавляет начальник, назначаемый на должность и освобождаемый от должности Министром юстиции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Начальник Управления имеет заместителей, назначаемых на должность и освобождаемых от должности Министром юстиции Российской Федерации по представлению начальника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 Начальник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 организует работу Управления на плановой основе, осуществляет общее руководство его деятельностью с соблюдением принципа единоначалия;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 контролирует выполнение возложенных на Управление задач и несет персональную ответственность за их выполнение;</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3) без доверенности представляет интересы Управления в судах общей юрисдикции, арбитражных судах и перед третьими лицами;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4) распределяет обязанности между своими заместителями, утверждает положения о структурных подразделениях Управления, должностные регламенты гражданских служащих;</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5) утверждает по согласованию с Департаментом государственной службы и кадров и Департаментом управления делами Минюста России штатное расписание работников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6) контролирует исполнение гражданскими служащими и работниками Управления возложенных на них обязанностей и соблюдение ими служебной и трудовой дисциплины, принимает меры по недопущению коррупционных и иных правонарушений;</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 подписывает в пределах своей компетенции приказы и распоряжения по вопросам организации деятельности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7.1) направляет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8) выдает от имени Управления доверенности;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 организует кадровую работу в Управлении в соответствии с требованиями законодательства Российской Федерации и нормативными правовыми актами Минюста России, в том числе профессиональную подготовку и дополнительное образование гражданских служащих; в пределах своих полномочий участвует в формировании кадрового резерва для замещения вакантных должностей федеральной государственной гражданской службы в Минюсте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9.1) утратил силу. - Приказ Минюста России от 29.03.2019 N 65;</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10) осуществляет полномочия представителя нанимателя в отношении гражданских служащих Управления в пределах, определяемых Министром юстиции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11) в установленном порядке вносит Министру юстиции Российской Федерации предложения о кандидатурах для назначения на должности заместителей начальника территориального органа, согласованные с начальником Главного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12) разрабатывает и вносит Министру юстиции Российской Федерации предложения по структуре, штатной численности гражданских служащих, бюджетной смете, финансовому и материально-техническому обеспечению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13) заключает в установленном порядке трудовые договоры с гражданами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14) создает необходимые условия для труда и отдыха гражданских служащих и работников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15) в пределах своих полномочий и в соответствии с действующим законодательством Российской Федерации поощряет гражданских служащих и работников Управления, налагает на них дисциплинарные взыскания;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16) присваивает в пределах своих полномочий классные чины гражданским служащим Управления, вносит в установленном порядке представления к присвоению им классных чинов, награждению ведомственными и государственными наградами;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17) организует и контролирует работу по воинскому учету и бронированию государственных служащих и работников Управления, пребывающих в запасе Вооруженных Сил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18) организует в пределах своих полномочий работу по правовой и социальной защите гражданских служащих и работников Управления, вносит в Минюст России, органы государственной власти субъекта (субъектов) Российской Федерации предложения по вопросам улучшения условий труда, материального и социально-бытового обеспечения гражданских служащих и работников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19) в установленном порядке проводит оперативные совещания;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20) назначает на должность стажеров и помощников нотариуса в государственной нотариальной конторе;</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21) наделяет нотариусов полномочиями по совершению нотариальных действий от имени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22) направляет в Главное управление рекомендации на целевой прием в федеральное государственное бюджетное образовательное учреждение высшего образования "Всероссийский государственный университет юстиции (РПА Минюста России)" граждан и специалистов;</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23) в соответствии с законодательством Российской Федерации, нормативными правовыми актами Минюста России заключает от имени Управления государственные контракты и совершает иные сделки;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24) организует делопроизводство и осуществление мероприятий по обеспечению режима секретности в Управлении в соответствии с законодательством и нормативными правовыми актами Минюста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25) обеспечивает в соответствии с установленными правилами формирование, хранение и использование архивных документов, а также их передачу на постоянное хранение в государственный архив субъекта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26) представляет в Минюст России отчеты о результатах деятельности Управления;</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27) осуществляет иные полномочия, предусмотренные законодательством Российской Федерации и нормативными правовыми актами Минюста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 xml:space="preserve">9. Начальник Управления, его заместители и должностные лица Управления, специально уполномоченные осуществлять </w:t>
      </w:r>
      <w:proofErr w:type="gramStart"/>
      <w:r w:rsidRPr="00CE702D">
        <w:rPr>
          <w:rFonts w:ascii="Calibri" w:hAnsi="Calibri" w:cs="Calibri"/>
          <w:color w:val="000000" w:themeColor="text1"/>
        </w:rPr>
        <w:t>контроль за</w:t>
      </w:r>
      <w:proofErr w:type="gramEnd"/>
      <w:r w:rsidRPr="00CE702D">
        <w:rPr>
          <w:rFonts w:ascii="Calibri" w:hAnsi="Calibri" w:cs="Calibri"/>
          <w:color w:val="000000" w:themeColor="text1"/>
        </w:rPr>
        <w:t xml:space="preserve"> деятельностью некоммерческих организаций, в том числе общественных объединений, политических партий и религиозных организаций, составляют протоколы об административных правонарушениях в порядке, установленном законодательством Российской Федерации.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lastRenderedPageBreak/>
        <w:t>10. При Управлении образуется Координационный совет, Положение о котором утверждается приказом Минюста России.</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11. Управление является юридическим лицом, имеет печать с воспроизведением Государственного герба Российской Федерации, со своим наименованием, малую выжимную металлическую печать с воспроизведением Государственного герба Российской Федерации, другие необходимые для осуществления своей деятельности печати, штампы и бланки, счета в территориальных органах Федерального казначейства.</w:t>
      </w:r>
    </w:p>
    <w:p w:rsidR="00CE702D" w:rsidRPr="00CE702D" w:rsidRDefault="00CE702D">
      <w:pPr>
        <w:spacing w:before="220" w:after="1" w:line="220" w:lineRule="atLeast"/>
        <w:ind w:firstLine="540"/>
        <w:jc w:val="both"/>
        <w:rPr>
          <w:color w:val="000000" w:themeColor="text1"/>
        </w:rPr>
      </w:pPr>
      <w:r w:rsidRPr="00CE702D">
        <w:rPr>
          <w:rFonts w:ascii="Calibri" w:hAnsi="Calibri" w:cs="Calibri"/>
          <w:color w:val="000000" w:themeColor="text1"/>
        </w:rPr>
        <w:t>12. Управление является получателем денежных средств, предусмотренных в федеральном бюджете на его финансирование.</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right"/>
        <w:outlineLvl w:val="0"/>
        <w:rPr>
          <w:color w:val="000000" w:themeColor="text1"/>
        </w:rPr>
      </w:pPr>
      <w:r w:rsidRPr="00CE702D">
        <w:rPr>
          <w:rFonts w:ascii="Calibri" w:hAnsi="Calibri" w:cs="Calibri"/>
          <w:color w:val="000000" w:themeColor="text1"/>
        </w:rPr>
        <w:t>Приложение N 2</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к приказу Министерства юстиции</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Российской Федерации</w:t>
      </w:r>
    </w:p>
    <w:p w:rsidR="00CE702D" w:rsidRPr="00CE702D" w:rsidRDefault="00CE702D">
      <w:pPr>
        <w:spacing w:after="1" w:line="220" w:lineRule="atLeast"/>
        <w:jc w:val="right"/>
        <w:rPr>
          <w:color w:val="000000" w:themeColor="text1"/>
        </w:rPr>
      </w:pPr>
      <w:r w:rsidRPr="00CE702D">
        <w:rPr>
          <w:rFonts w:ascii="Calibri" w:hAnsi="Calibri" w:cs="Calibri"/>
          <w:color w:val="000000" w:themeColor="text1"/>
        </w:rPr>
        <w:t>от 03.03.2014 N 26</w:t>
      </w:r>
    </w:p>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jc w:val="center"/>
        <w:rPr>
          <w:color w:val="000000" w:themeColor="text1"/>
        </w:rPr>
      </w:pPr>
      <w:bookmarkStart w:id="3" w:name="P210"/>
      <w:bookmarkEnd w:id="3"/>
      <w:r w:rsidRPr="00CE702D">
        <w:rPr>
          <w:rFonts w:ascii="Calibri" w:hAnsi="Calibri" w:cs="Calibri"/>
          <w:b/>
          <w:color w:val="000000" w:themeColor="text1"/>
        </w:rPr>
        <w:t>ПЕРЕЧЕНЬ</w:t>
      </w:r>
    </w:p>
    <w:p w:rsidR="00CE702D" w:rsidRPr="00CE702D" w:rsidRDefault="00CE702D">
      <w:pPr>
        <w:spacing w:after="1" w:line="220" w:lineRule="atLeast"/>
        <w:jc w:val="center"/>
        <w:rPr>
          <w:color w:val="000000" w:themeColor="text1"/>
        </w:rPr>
      </w:pPr>
      <w:r w:rsidRPr="00CE702D">
        <w:rPr>
          <w:rFonts w:ascii="Calibri" w:hAnsi="Calibri" w:cs="Calibri"/>
          <w:b/>
          <w:color w:val="000000" w:themeColor="text1"/>
        </w:rPr>
        <w:t>УПРАВЛЕНИЙ МИНЮСТА РОССИИ ПО СУБЪЕКТАМ РОССИЙСКОЙ ФЕДЕРАЦИИ</w:t>
      </w:r>
    </w:p>
    <w:p w:rsidR="00CE702D" w:rsidRPr="00CE702D" w:rsidRDefault="00CE702D">
      <w:pPr>
        <w:spacing w:after="1" w:line="220" w:lineRule="atLeast"/>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061"/>
        <w:gridCol w:w="3118"/>
        <w:gridCol w:w="2211"/>
      </w:tblGrid>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 xml:space="preserve">N </w:t>
            </w:r>
            <w:proofErr w:type="gramStart"/>
            <w:r w:rsidRPr="00CE702D">
              <w:rPr>
                <w:rFonts w:ascii="Calibri" w:hAnsi="Calibri" w:cs="Calibri"/>
                <w:color w:val="000000" w:themeColor="text1"/>
              </w:rPr>
              <w:t>п</w:t>
            </w:r>
            <w:proofErr w:type="gramEnd"/>
            <w:r w:rsidRPr="00CE702D">
              <w:rPr>
                <w:rFonts w:ascii="Calibri" w:hAnsi="Calibri" w:cs="Calibri"/>
                <w:color w:val="000000" w:themeColor="text1"/>
              </w:rPr>
              <w:t>/п</w:t>
            </w:r>
          </w:p>
        </w:tc>
        <w:tc>
          <w:tcPr>
            <w:tcW w:w="3061"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Полное наименование управления Министерства юстиции Российской Федерации по субъекту (субъектам) Российской Федерации</w:t>
            </w:r>
          </w:p>
        </w:tc>
        <w:tc>
          <w:tcPr>
            <w:tcW w:w="3118"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Сокращенное наименование управления Министерства юстиции Российской Федерации по субъекту (субъектам) Российской Федерации</w:t>
            </w:r>
          </w:p>
        </w:tc>
        <w:tc>
          <w:tcPr>
            <w:tcW w:w="2211"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Место размещения</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w:t>
            </w:r>
          </w:p>
        </w:tc>
        <w:tc>
          <w:tcPr>
            <w:tcW w:w="3061"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w:t>
            </w:r>
          </w:p>
        </w:tc>
        <w:tc>
          <w:tcPr>
            <w:tcW w:w="3118"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w:t>
            </w:r>
          </w:p>
        </w:tc>
        <w:tc>
          <w:tcPr>
            <w:tcW w:w="2211"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Адыгея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Адыгея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Майкоп</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Алтай</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Алтай</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Горно-Алтайск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Башкортостан</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Башкортостан</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Уфа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Бурятия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Бурятия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Улан-Удэ</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w:t>
            </w:r>
            <w:r w:rsidRPr="00CE702D">
              <w:rPr>
                <w:rFonts w:ascii="Calibri" w:hAnsi="Calibri" w:cs="Calibri"/>
                <w:color w:val="000000" w:themeColor="text1"/>
              </w:rPr>
              <w:lastRenderedPageBreak/>
              <w:t>юстиции Российской Федерации по Республике Дагестан</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 xml:space="preserve">Управление Минюста России </w:t>
            </w:r>
            <w:r w:rsidRPr="00CE702D">
              <w:rPr>
                <w:rFonts w:ascii="Calibri" w:hAnsi="Calibri" w:cs="Calibri"/>
                <w:color w:val="000000" w:themeColor="text1"/>
              </w:rPr>
              <w:lastRenderedPageBreak/>
              <w:t>по Республике Дагестан</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г. Махачкала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Ингушетия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Ингушетия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Назрань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Кабардино-Балкарской Республике</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Кабардино-Балкарской Республике</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Нальчик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8.</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Калмыкия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Калмыкия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Элиста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9.</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Карачаево-Черкесской Республике</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Карачаево-Черкесской Республике</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Черкесск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Карелия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Карелия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Петрозаводск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Коми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Коми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Сыктывкар</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Марий Эл</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Марий Эл</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Йошкар-Ола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Мордовия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Мордовия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Саранск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Саха (Якутия)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Саха (Якутия)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Якутск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Северная Осетия - Алания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Северная Осетия - Алания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Владикавказ</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w:t>
            </w:r>
            <w:r w:rsidRPr="00CE702D">
              <w:rPr>
                <w:rFonts w:ascii="Calibri" w:hAnsi="Calibri" w:cs="Calibri"/>
                <w:color w:val="000000" w:themeColor="text1"/>
              </w:rPr>
              <w:lastRenderedPageBreak/>
              <w:t>юстиции Российской Федерации по Республике Татарстан</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 xml:space="preserve">Управление Минюста России </w:t>
            </w:r>
            <w:r w:rsidRPr="00CE702D">
              <w:rPr>
                <w:rFonts w:ascii="Calibri" w:hAnsi="Calibri" w:cs="Calibri"/>
                <w:color w:val="000000" w:themeColor="text1"/>
              </w:rPr>
              <w:lastRenderedPageBreak/>
              <w:t>по Республике Татарстан</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г. Казань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17.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Тыва</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Тыва</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Кызыл</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18.</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Удмуртской Республике</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Удмуртской Республике</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Ижевск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19.</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Хакасия</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Хакасия</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Абакан</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Чеченской Республике</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Чеченской Республике</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Грозный</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Чувашской Республике</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Чувашской Республике</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Чебоксары</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Алтайскому краю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Алтайскому краю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Барнаул</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Забайкальскому краю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Забайкальскому краю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Чита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Камчатскому краю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Камчатскому краю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Петропавловск-Камчатский</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Краснодарскому краю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Краснодарскому краю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Краснодар</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Красноярскому краю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Красноярскому краю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Красноярск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w:t>
            </w:r>
            <w:r w:rsidRPr="00CE702D">
              <w:rPr>
                <w:rFonts w:ascii="Calibri" w:hAnsi="Calibri" w:cs="Calibri"/>
                <w:color w:val="000000" w:themeColor="text1"/>
              </w:rPr>
              <w:lastRenderedPageBreak/>
              <w:t>юстиции Российской Федерации по Пермскому краю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 xml:space="preserve">Управление Минюста России </w:t>
            </w:r>
            <w:r w:rsidRPr="00CE702D">
              <w:rPr>
                <w:rFonts w:ascii="Calibri" w:hAnsi="Calibri" w:cs="Calibri"/>
                <w:color w:val="000000" w:themeColor="text1"/>
              </w:rPr>
              <w:lastRenderedPageBreak/>
              <w:t>по Пермскому краю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г. Пермь</w:t>
            </w:r>
          </w:p>
        </w:tc>
      </w:tr>
      <w:tr w:rsidR="00CE702D" w:rsidRPr="00CE702D">
        <w:tc>
          <w:tcPr>
            <w:tcW w:w="680" w:type="dxa"/>
            <w:vMerge w:val="restart"/>
            <w:tcBorders>
              <w:bottom w:val="nil"/>
            </w:tcBorders>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28.</w:t>
            </w:r>
          </w:p>
        </w:tc>
        <w:tc>
          <w:tcPr>
            <w:tcW w:w="306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Хабаровскому краю и Еврейской автономной области</w:t>
            </w:r>
          </w:p>
        </w:tc>
        <w:tc>
          <w:tcPr>
            <w:tcW w:w="3118"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Хабаровскому краю и Еврейской автономной области</w:t>
            </w:r>
          </w:p>
        </w:tc>
        <w:tc>
          <w:tcPr>
            <w:tcW w:w="221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Хабаровск</w:t>
            </w:r>
          </w:p>
        </w:tc>
      </w:tr>
      <w:tr w:rsidR="00CE702D" w:rsidRPr="00CE702D">
        <w:tblPrEx>
          <w:tblBorders>
            <w:insideH w:val="nil"/>
          </w:tblBorders>
        </w:tblPrEx>
        <w:tc>
          <w:tcPr>
            <w:tcW w:w="680" w:type="dxa"/>
            <w:vMerge/>
            <w:tcBorders>
              <w:bottom w:val="nil"/>
            </w:tcBorders>
          </w:tcPr>
          <w:p w:rsidR="00CE702D" w:rsidRPr="00CE702D" w:rsidRDefault="00CE702D">
            <w:pPr>
              <w:rPr>
                <w:color w:val="000000" w:themeColor="text1"/>
              </w:rPr>
            </w:pPr>
          </w:p>
        </w:tc>
        <w:tc>
          <w:tcPr>
            <w:tcW w:w="3061" w:type="dxa"/>
            <w:tcBorders>
              <w:top w:val="nil"/>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Отдел по Еврейской автономной области Управления Министерства юстиции Российской Федерации по Хабаровскому краю и Еврейской автономной области</w:t>
            </w:r>
          </w:p>
        </w:tc>
        <w:tc>
          <w:tcPr>
            <w:tcW w:w="3118" w:type="dxa"/>
            <w:tcBorders>
              <w:top w:val="nil"/>
              <w:bottom w:val="nil"/>
            </w:tcBorders>
          </w:tcPr>
          <w:p w:rsidR="00CE702D" w:rsidRPr="00CE702D" w:rsidRDefault="00CE702D">
            <w:pPr>
              <w:spacing w:after="1" w:line="220" w:lineRule="atLeast"/>
              <w:rPr>
                <w:color w:val="000000" w:themeColor="text1"/>
              </w:rPr>
            </w:pPr>
          </w:p>
        </w:tc>
        <w:tc>
          <w:tcPr>
            <w:tcW w:w="2211" w:type="dxa"/>
            <w:tcBorders>
              <w:top w:val="nil"/>
              <w:bottom w:val="nil"/>
            </w:tcBorders>
          </w:tcPr>
          <w:p w:rsidR="00CE702D" w:rsidRPr="00CE702D" w:rsidRDefault="00CE702D">
            <w:pPr>
              <w:spacing w:after="1" w:line="220" w:lineRule="atLeast"/>
              <w:jc w:val="both"/>
              <w:rPr>
                <w:color w:val="000000" w:themeColor="text1"/>
              </w:rPr>
            </w:pPr>
            <w:r w:rsidRPr="00CE702D">
              <w:rPr>
                <w:rFonts w:ascii="Calibri" w:hAnsi="Calibri" w:cs="Calibri"/>
                <w:color w:val="000000" w:themeColor="text1"/>
              </w:rPr>
              <w:t>г. Биробиджан</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29.</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Амурской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Амурской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Благовещенск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Архангельской области и Ненецкому автономному округу</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Архангельской области и Ненецкому автономному округу</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Архангельск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Астраханской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Астраханской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Астрахань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Белгородской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Белгородской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Белгород</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Брянской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Брянской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Брянск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Владимирской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Владимирской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Владимир</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Волгоградской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Волгоградской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Волгоград</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w:t>
            </w:r>
            <w:r w:rsidRPr="00CE702D">
              <w:rPr>
                <w:rFonts w:ascii="Calibri" w:hAnsi="Calibri" w:cs="Calibri"/>
                <w:color w:val="000000" w:themeColor="text1"/>
              </w:rPr>
              <w:lastRenderedPageBreak/>
              <w:t>юстиции Российской Федерации по Вологодской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 xml:space="preserve">Управление Минюста России </w:t>
            </w:r>
            <w:r w:rsidRPr="00CE702D">
              <w:rPr>
                <w:rFonts w:ascii="Calibri" w:hAnsi="Calibri" w:cs="Calibri"/>
                <w:color w:val="000000" w:themeColor="text1"/>
              </w:rPr>
              <w:lastRenderedPageBreak/>
              <w:t>по Вологодской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г. Вологда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37.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Воронежской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Воронежской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Воронеж</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38.</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Ивановской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Ивановской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Иваново</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39.</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Иркутской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Иркутской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Иркутск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Калининградской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Калининградской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Калининград</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Калужской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Калужской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Калуга</w:t>
            </w:r>
          </w:p>
        </w:tc>
      </w:tr>
      <w:tr w:rsidR="00CE702D" w:rsidRPr="00CE702D">
        <w:tblPrEx>
          <w:tblBorders>
            <w:insideH w:val="nil"/>
          </w:tblBorders>
        </w:tblPrEx>
        <w:tc>
          <w:tcPr>
            <w:tcW w:w="680" w:type="dxa"/>
            <w:tcBorders>
              <w:bottom w:val="nil"/>
            </w:tcBorders>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42.</w:t>
            </w:r>
          </w:p>
        </w:tc>
        <w:tc>
          <w:tcPr>
            <w:tcW w:w="306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Кемеровской области - Кузбассу</w:t>
            </w:r>
          </w:p>
        </w:tc>
        <w:tc>
          <w:tcPr>
            <w:tcW w:w="3118"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Кемеровской области - Кузбассу</w:t>
            </w:r>
          </w:p>
        </w:tc>
        <w:tc>
          <w:tcPr>
            <w:tcW w:w="221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Кемерово</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Кировской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Кировской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Киров</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Костромской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Костромской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Кострома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Курганской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Курганской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Курган</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Курской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Курской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Курск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w:t>
            </w:r>
            <w:r w:rsidRPr="00CE702D">
              <w:rPr>
                <w:rFonts w:ascii="Calibri" w:hAnsi="Calibri" w:cs="Calibri"/>
                <w:color w:val="000000" w:themeColor="text1"/>
              </w:rPr>
              <w:lastRenderedPageBreak/>
              <w:t>юстиции Российской Федерации по Ленинградской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 xml:space="preserve">Управление Минюста России </w:t>
            </w:r>
            <w:r w:rsidRPr="00CE702D">
              <w:rPr>
                <w:rFonts w:ascii="Calibri" w:hAnsi="Calibri" w:cs="Calibri"/>
                <w:color w:val="000000" w:themeColor="text1"/>
              </w:rPr>
              <w:lastRenderedPageBreak/>
              <w:t>по Ленинградской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г. Санкт-Петербург</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48.</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Липецкой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Липецкой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Липецк</w:t>
            </w:r>
          </w:p>
        </w:tc>
      </w:tr>
      <w:tr w:rsidR="00CE702D" w:rsidRPr="00CE702D">
        <w:tc>
          <w:tcPr>
            <w:tcW w:w="680" w:type="dxa"/>
            <w:vMerge w:val="restart"/>
            <w:tcBorders>
              <w:bottom w:val="nil"/>
            </w:tcBorders>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49.</w:t>
            </w:r>
          </w:p>
        </w:tc>
        <w:tc>
          <w:tcPr>
            <w:tcW w:w="306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Магаданской области и Чукотскому автономному округу</w:t>
            </w:r>
          </w:p>
        </w:tc>
        <w:tc>
          <w:tcPr>
            <w:tcW w:w="3118"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Магаданской области и Чукотскому автономному округу</w:t>
            </w:r>
          </w:p>
        </w:tc>
        <w:tc>
          <w:tcPr>
            <w:tcW w:w="221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Магадан</w:t>
            </w:r>
          </w:p>
        </w:tc>
      </w:tr>
      <w:tr w:rsidR="00CE702D" w:rsidRPr="00CE702D">
        <w:tblPrEx>
          <w:tblBorders>
            <w:insideH w:val="nil"/>
          </w:tblBorders>
        </w:tblPrEx>
        <w:tc>
          <w:tcPr>
            <w:tcW w:w="680" w:type="dxa"/>
            <w:vMerge/>
            <w:tcBorders>
              <w:bottom w:val="nil"/>
            </w:tcBorders>
          </w:tcPr>
          <w:p w:rsidR="00CE702D" w:rsidRPr="00CE702D" w:rsidRDefault="00CE702D">
            <w:pPr>
              <w:rPr>
                <w:color w:val="000000" w:themeColor="text1"/>
              </w:rPr>
            </w:pPr>
          </w:p>
        </w:tc>
        <w:tc>
          <w:tcPr>
            <w:tcW w:w="3061" w:type="dxa"/>
            <w:tcBorders>
              <w:top w:val="nil"/>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Отдел по Чукотскому автономному округу Управления Министерства юстиции Российской Федерации по Магаданской области и Чукотскому автономному округу</w:t>
            </w:r>
          </w:p>
        </w:tc>
        <w:tc>
          <w:tcPr>
            <w:tcW w:w="3118" w:type="dxa"/>
            <w:tcBorders>
              <w:top w:val="nil"/>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Отдел по Чукотскому автономному округу Управления Минюста России по Магаданской области и Чукотскому автономному округу</w:t>
            </w:r>
          </w:p>
        </w:tc>
        <w:tc>
          <w:tcPr>
            <w:tcW w:w="2211" w:type="dxa"/>
            <w:tcBorders>
              <w:top w:val="nil"/>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Анадырь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Московской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Московской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Москва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Мурманской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Мурманской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Мурманск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Новгородской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Новгородской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Великий Новгород</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Омской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Омской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Омск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Оренбургской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Оренбургской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Оренбург</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Орловской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Орловской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Орел</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юстиции Российской Федерации по Пензенской </w:t>
            </w:r>
            <w:r w:rsidRPr="00CE702D">
              <w:rPr>
                <w:rFonts w:ascii="Calibri" w:hAnsi="Calibri" w:cs="Calibri"/>
                <w:color w:val="000000" w:themeColor="text1"/>
              </w:rPr>
              <w:lastRenderedPageBreak/>
              <w:t>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Управление Минюста России по Пензенской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Пенза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57.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Псковской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Псковской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Псков</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58.</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Рязанской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Рязанской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Рязань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59.</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Самарской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Самарской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Самара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Саратовской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Саратовской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Саратов</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Сахалинской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Сахалинской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Южно-Сахалинск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Смоленской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Смоленской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Смоленск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63.</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Тамбовской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Тамбовской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Тамбов</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Тверской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Тверской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Тверь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65.</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Томской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Томской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Томск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66.</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Тульской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Тульской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Тула</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67.</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 xml:space="preserve">Управление Министерства юстиции Российской Федерации по Тюменской </w:t>
            </w:r>
            <w:r w:rsidRPr="00CE702D">
              <w:rPr>
                <w:rFonts w:ascii="Calibri" w:hAnsi="Calibri" w:cs="Calibri"/>
                <w:color w:val="000000" w:themeColor="text1"/>
              </w:rPr>
              <w:lastRenderedPageBreak/>
              <w:t>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lastRenderedPageBreak/>
              <w:t>Управление Минюста России по Тюменской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Тюмень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lastRenderedPageBreak/>
              <w:t>68.</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Ульяновской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Ульяновской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Ульяновск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69.</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Челябинской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Челябинской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Челябинск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70.</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Ярославской области</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Ярославской области</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Ярославль</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71.</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Ханты-Мансийскому автономному округу - Югре</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Ханты-Мансийскому автономному округу - Югре</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Ханты-Мансийск</w:t>
            </w:r>
          </w:p>
        </w:tc>
      </w:tr>
      <w:tr w:rsidR="00CE702D" w:rsidRPr="00CE702D">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72.</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Ямало-Ненецкому автономному округу</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Ямало-Ненецкому автономному округу</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Салехард</w:t>
            </w:r>
          </w:p>
        </w:tc>
      </w:tr>
      <w:tr w:rsidR="00CE702D" w:rsidRPr="00CE702D">
        <w:tblPrEx>
          <w:tblBorders>
            <w:insideH w:val="nil"/>
          </w:tblBorders>
        </w:tblPrEx>
        <w:tc>
          <w:tcPr>
            <w:tcW w:w="680" w:type="dxa"/>
            <w:tcBorders>
              <w:bottom w:val="nil"/>
            </w:tcBorders>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73.</w:t>
            </w:r>
          </w:p>
        </w:tc>
        <w:tc>
          <w:tcPr>
            <w:tcW w:w="8390" w:type="dxa"/>
            <w:gridSpan w:val="3"/>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Исключен. - Приказ Минюста России от 07.04.2014 N 62</w:t>
            </w:r>
          </w:p>
        </w:tc>
      </w:tr>
      <w:tr w:rsidR="00CE702D" w:rsidRPr="00CE702D">
        <w:tblPrEx>
          <w:tblBorders>
            <w:insideH w:val="nil"/>
          </w:tblBorders>
        </w:tblPrEx>
        <w:tc>
          <w:tcPr>
            <w:tcW w:w="680" w:type="dxa"/>
            <w:tcBorders>
              <w:bottom w:val="nil"/>
            </w:tcBorders>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73.</w:t>
            </w:r>
          </w:p>
        </w:tc>
        <w:tc>
          <w:tcPr>
            <w:tcW w:w="306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Республике Крым</w:t>
            </w:r>
          </w:p>
        </w:tc>
        <w:tc>
          <w:tcPr>
            <w:tcW w:w="3118"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Республике Крым</w:t>
            </w:r>
          </w:p>
        </w:tc>
        <w:tc>
          <w:tcPr>
            <w:tcW w:w="2211" w:type="dxa"/>
            <w:tcBorders>
              <w:bottom w:val="nil"/>
            </w:tcBorders>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Симферополь</w:t>
            </w:r>
          </w:p>
        </w:tc>
      </w:tr>
      <w:tr w:rsidR="00CE702D" w:rsidRPr="00CE702D">
        <w:tblPrEx>
          <w:tblBorders>
            <w:insideH w:val="nil"/>
          </w:tblBorders>
        </w:tblPrEx>
        <w:tc>
          <w:tcPr>
            <w:tcW w:w="680" w:type="dxa"/>
          </w:tcPr>
          <w:p w:rsidR="00CE702D" w:rsidRPr="00CE702D" w:rsidRDefault="00CE702D">
            <w:pPr>
              <w:spacing w:after="1" w:line="220" w:lineRule="atLeast"/>
              <w:jc w:val="center"/>
              <w:rPr>
                <w:color w:val="000000" w:themeColor="text1"/>
              </w:rPr>
            </w:pPr>
            <w:r w:rsidRPr="00CE702D">
              <w:rPr>
                <w:rFonts w:ascii="Calibri" w:hAnsi="Calibri" w:cs="Calibri"/>
                <w:color w:val="000000" w:themeColor="text1"/>
              </w:rPr>
              <w:t>74.</w:t>
            </w:r>
          </w:p>
        </w:tc>
        <w:tc>
          <w:tcPr>
            <w:tcW w:w="306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Министерства юстиции Российской Федерации по Севастополю</w:t>
            </w:r>
          </w:p>
        </w:tc>
        <w:tc>
          <w:tcPr>
            <w:tcW w:w="3118"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Управление Минюста России по Севастополю</w:t>
            </w:r>
          </w:p>
        </w:tc>
        <w:tc>
          <w:tcPr>
            <w:tcW w:w="2211" w:type="dxa"/>
          </w:tcPr>
          <w:p w:rsidR="00CE702D" w:rsidRPr="00CE702D" w:rsidRDefault="00CE702D">
            <w:pPr>
              <w:spacing w:after="1" w:line="220" w:lineRule="atLeast"/>
              <w:rPr>
                <w:color w:val="000000" w:themeColor="text1"/>
              </w:rPr>
            </w:pPr>
            <w:r w:rsidRPr="00CE702D">
              <w:rPr>
                <w:rFonts w:ascii="Calibri" w:hAnsi="Calibri" w:cs="Calibri"/>
                <w:color w:val="000000" w:themeColor="text1"/>
              </w:rPr>
              <w:t>г. Севастополь</w:t>
            </w:r>
          </w:p>
        </w:tc>
      </w:tr>
    </w:tbl>
    <w:p w:rsidR="00CE702D" w:rsidRPr="00CE702D" w:rsidRDefault="00CE702D">
      <w:pPr>
        <w:spacing w:after="1" w:line="220" w:lineRule="atLeast"/>
        <w:ind w:firstLine="540"/>
        <w:jc w:val="both"/>
        <w:rPr>
          <w:color w:val="000000" w:themeColor="text1"/>
        </w:rPr>
      </w:pPr>
    </w:p>
    <w:p w:rsidR="00CE702D" w:rsidRPr="00CE702D" w:rsidRDefault="00CE702D">
      <w:pPr>
        <w:spacing w:after="1" w:line="220" w:lineRule="atLeast"/>
        <w:ind w:firstLine="540"/>
        <w:jc w:val="both"/>
        <w:rPr>
          <w:color w:val="000000" w:themeColor="text1"/>
        </w:rPr>
      </w:pPr>
    </w:p>
    <w:p w:rsidR="00CE702D" w:rsidRPr="00CE702D" w:rsidRDefault="00CE702D">
      <w:pPr>
        <w:pBdr>
          <w:top w:val="single" w:sz="6" w:space="0" w:color="auto"/>
        </w:pBdr>
        <w:spacing w:before="100" w:after="100"/>
        <w:jc w:val="both"/>
        <w:rPr>
          <w:color w:val="000000" w:themeColor="text1"/>
          <w:sz w:val="2"/>
          <w:szCs w:val="2"/>
        </w:rPr>
      </w:pPr>
    </w:p>
    <w:p w:rsidR="007676A8" w:rsidRPr="00CE702D" w:rsidRDefault="00CE702D" w:rsidP="00CE702D">
      <w:pPr>
        <w:rPr>
          <w:color w:val="000000" w:themeColor="text1"/>
        </w:rPr>
      </w:pPr>
    </w:p>
    <w:sectPr w:rsidR="007676A8" w:rsidRPr="00CE702D" w:rsidSect="002C3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8A"/>
    <w:rsid w:val="00134886"/>
    <w:rsid w:val="00376F78"/>
    <w:rsid w:val="00913EBF"/>
    <w:rsid w:val="00936F8A"/>
    <w:rsid w:val="00CE7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6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6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6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6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6F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6F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6F8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6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6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6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6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6F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6F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6F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7768</Words>
  <Characters>44280</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2019-07-26T11:52:00Z</dcterms:created>
  <dcterms:modified xsi:type="dcterms:W3CDTF">2019-07-26T11:52:00Z</dcterms:modified>
</cp:coreProperties>
</file>